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7D16" w14:textId="5D09770F" w:rsidR="00011BBF" w:rsidRPr="00011BBF" w:rsidRDefault="00011BBF">
      <w:pPr>
        <w:rPr>
          <w:b/>
          <w:bCs/>
          <w:sz w:val="22"/>
          <w:szCs w:val="22"/>
          <w:lang w:val="pl-PL"/>
        </w:rPr>
      </w:pPr>
    </w:p>
    <w:tbl>
      <w:tblPr>
        <w:tblStyle w:val="PlainTableWT"/>
        <w:tblpPr w:leftFromText="141" w:rightFromText="141" w:vertAnchor="text" w:tblpY="1"/>
        <w:tblOverlap w:val="never"/>
        <w:tblW w:w="5000" w:type="pct"/>
        <w:tblLook w:val="0600" w:firstRow="0" w:lastRow="0" w:firstColumn="0" w:lastColumn="0" w:noHBand="1" w:noVBand="1"/>
      </w:tblPr>
      <w:tblGrid>
        <w:gridCol w:w="9072"/>
      </w:tblGrid>
      <w:tr w:rsidR="00861217" w:rsidRPr="002F0E8A" w14:paraId="6FBF2EA9" w14:textId="77777777" w:rsidTr="00613F0B">
        <w:tc>
          <w:tcPr>
            <w:tcW w:w="5000" w:type="pct"/>
          </w:tcPr>
          <w:p w14:paraId="0C0D27DE" w14:textId="77777777" w:rsidR="00861217" w:rsidRPr="002F0E8A" w:rsidRDefault="00861217" w:rsidP="002C102F">
            <w:pPr>
              <w:pStyle w:val="Section"/>
              <w:keepNext w:val="0"/>
              <w:keepLines w:val="0"/>
              <w:suppressAutoHyphens/>
              <w:rPr>
                <w:lang w:val="cs-CZ"/>
              </w:rPr>
            </w:pPr>
            <w:r w:rsidRPr="002F0E8A">
              <w:rPr>
                <w:lang w:val="cs-CZ"/>
              </w:rPr>
              <w:t>Kupní smlouva</w:t>
            </w:r>
          </w:p>
        </w:tc>
      </w:tr>
      <w:tr w:rsidR="00861217" w:rsidRPr="002F0E8A" w14:paraId="5B117429" w14:textId="77777777" w:rsidTr="00613F0B">
        <w:tc>
          <w:tcPr>
            <w:tcW w:w="5000" w:type="pct"/>
          </w:tcPr>
          <w:p w14:paraId="146E0062" w14:textId="77777777" w:rsidR="00861217" w:rsidRPr="004061F6" w:rsidRDefault="00861217" w:rsidP="002C102F">
            <w:pPr>
              <w:pStyle w:val="NormalTextIndent"/>
              <w:suppressAutoHyphens/>
              <w:rPr>
                <w:sz w:val="24"/>
                <w:szCs w:val="24"/>
                <w:lang w:val="cs-CZ"/>
              </w:rPr>
            </w:pPr>
            <w:r w:rsidRPr="004061F6">
              <w:rPr>
                <w:sz w:val="24"/>
                <w:szCs w:val="24"/>
                <w:lang w:val="cs-CZ"/>
              </w:rPr>
              <w:t>Tato kupní smlouva (dále jen jako „</w:t>
            </w:r>
            <w:r w:rsidRPr="004061F6">
              <w:rPr>
                <w:b/>
                <w:sz w:val="24"/>
                <w:szCs w:val="24"/>
                <w:lang w:val="cs-CZ"/>
              </w:rPr>
              <w:t>Smlouva</w:t>
            </w:r>
            <w:r w:rsidRPr="004061F6">
              <w:rPr>
                <w:sz w:val="24"/>
                <w:szCs w:val="24"/>
                <w:lang w:val="cs-CZ"/>
              </w:rPr>
              <w:t>“) byla uzavřena níže uvedeného dne, měsíce a roku podle zákona č. 89/2012 Sb., občanského zákoníku, v platném znění, mezi těmito stranami:</w:t>
            </w:r>
          </w:p>
        </w:tc>
      </w:tr>
      <w:tr w:rsidR="00861217" w:rsidRPr="00505020" w14:paraId="2C230E29" w14:textId="77777777" w:rsidTr="00613F0B">
        <w:tc>
          <w:tcPr>
            <w:tcW w:w="5000" w:type="pct"/>
          </w:tcPr>
          <w:p w14:paraId="47A22A73" w14:textId="503EECEB" w:rsidR="00861217" w:rsidRPr="004061F6" w:rsidRDefault="00861217" w:rsidP="002C102F">
            <w:pPr>
              <w:pStyle w:val="NormalTextIndent"/>
              <w:suppressAutoHyphens/>
              <w:rPr>
                <w:b/>
                <w:bCs/>
                <w:sz w:val="24"/>
                <w:szCs w:val="24"/>
                <w:lang w:val="cs-CZ"/>
              </w:rPr>
            </w:pPr>
            <w:r w:rsidRPr="004061F6">
              <w:rPr>
                <w:b/>
                <w:bCs/>
                <w:sz w:val="24"/>
                <w:szCs w:val="24"/>
                <w:lang w:val="cs-CZ"/>
              </w:rPr>
              <w:t>Obec Chotusice</w:t>
            </w:r>
          </w:p>
          <w:p w14:paraId="33436AA6" w14:textId="1A46FCD9" w:rsidR="00861217" w:rsidRPr="002F0E8A" w:rsidRDefault="00861217" w:rsidP="002C102F">
            <w:pPr>
              <w:pStyle w:val="NormalTextIndent"/>
              <w:suppressAutoHyphens/>
              <w:spacing w:before="0"/>
              <w:rPr>
                <w:sz w:val="24"/>
                <w:szCs w:val="24"/>
                <w:lang w:val="cs-CZ"/>
              </w:rPr>
            </w:pPr>
            <w:r w:rsidRPr="004061F6">
              <w:rPr>
                <w:sz w:val="24"/>
                <w:szCs w:val="24"/>
                <w:lang w:val="cs-CZ"/>
              </w:rPr>
              <w:t>Sídlem Chotusice</w:t>
            </w:r>
            <w:r w:rsidR="002F0E8A">
              <w:rPr>
                <w:sz w:val="24"/>
                <w:szCs w:val="24"/>
                <w:lang w:val="cs-CZ"/>
              </w:rPr>
              <w:t xml:space="preserve"> 61, </w:t>
            </w:r>
            <w:r w:rsidR="002F0E8A" w:rsidRPr="002F0E8A">
              <w:rPr>
                <w:sz w:val="24"/>
                <w:szCs w:val="24"/>
                <w:lang w:val="cs-CZ"/>
              </w:rPr>
              <w:t>285 76 Chotusice</w:t>
            </w:r>
          </w:p>
          <w:p w14:paraId="27274E64" w14:textId="2D93211A" w:rsidR="00861217" w:rsidRPr="002F0E8A" w:rsidRDefault="00861217" w:rsidP="002C102F">
            <w:pPr>
              <w:pStyle w:val="NormalTextIndent"/>
              <w:suppressAutoHyphens/>
              <w:spacing w:before="0"/>
              <w:rPr>
                <w:sz w:val="24"/>
                <w:szCs w:val="24"/>
                <w:lang w:val="cs-CZ"/>
              </w:rPr>
            </w:pPr>
            <w:r w:rsidRPr="002F0E8A">
              <w:rPr>
                <w:sz w:val="24"/>
                <w:szCs w:val="24"/>
                <w:lang w:val="cs-CZ"/>
              </w:rPr>
              <w:t>IČO</w:t>
            </w:r>
            <w:r w:rsidR="002F0E8A">
              <w:rPr>
                <w:sz w:val="24"/>
                <w:szCs w:val="24"/>
                <w:lang w:val="cs-CZ"/>
              </w:rPr>
              <w:t xml:space="preserve"> </w:t>
            </w:r>
            <w:r w:rsidR="002F0E8A" w:rsidRPr="002F0E8A">
              <w:rPr>
                <w:sz w:val="24"/>
                <w:szCs w:val="24"/>
                <w:lang w:val="cs-CZ"/>
              </w:rPr>
              <w:t>00236128</w:t>
            </w:r>
          </w:p>
          <w:p w14:paraId="37B18368" w14:textId="6FF3122C" w:rsidR="00861217" w:rsidRPr="002F0E8A" w:rsidRDefault="00861217" w:rsidP="002C102F">
            <w:pPr>
              <w:pStyle w:val="NormalTextIndent"/>
              <w:suppressAutoHyphens/>
              <w:spacing w:before="0"/>
              <w:rPr>
                <w:sz w:val="24"/>
                <w:szCs w:val="24"/>
                <w:lang w:val="cs-CZ"/>
              </w:rPr>
            </w:pPr>
            <w:r w:rsidRPr="002F0E8A">
              <w:rPr>
                <w:sz w:val="24"/>
                <w:szCs w:val="24"/>
                <w:lang w:val="cs-CZ"/>
              </w:rPr>
              <w:t>Zastoupená Bc. Ludmilou Zimovou</w:t>
            </w:r>
            <w:r w:rsidR="00505020">
              <w:rPr>
                <w:sz w:val="24"/>
                <w:szCs w:val="24"/>
                <w:lang w:val="cs-CZ"/>
              </w:rPr>
              <w:t xml:space="preserve"> Lehetovou</w:t>
            </w:r>
            <w:r w:rsidRPr="002F0E8A">
              <w:rPr>
                <w:sz w:val="24"/>
                <w:szCs w:val="24"/>
                <w:lang w:val="cs-CZ"/>
              </w:rPr>
              <w:t>, starostkou</w:t>
            </w:r>
          </w:p>
          <w:p w14:paraId="3C5F3939" w14:textId="00CD1C87" w:rsidR="00613F0B" w:rsidRPr="002F0E8A" w:rsidRDefault="00613F0B" w:rsidP="002C102F">
            <w:pPr>
              <w:pStyle w:val="NormalTextIndent"/>
              <w:suppressAutoHyphens/>
              <w:spacing w:before="0"/>
              <w:rPr>
                <w:sz w:val="24"/>
                <w:szCs w:val="24"/>
                <w:lang w:val="cs-CZ"/>
              </w:rPr>
            </w:pPr>
            <w:r w:rsidRPr="002F0E8A">
              <w:rPr>
                <w:sz w:val="24"/>
                <w:szCs w:val="24"/>
                <w:lang w:val="cs-CZ"/>
              </w:rPr>
              <w:t>Bank. číslo:</w:t>
            </w:r>
            <w:r w:rsidR="002F0E8A">
              <w:rPr>
                <w:sz w:val="24"/>
                <w:szCs w:val="24"/>
                <w:lang w:val="cs-CZ"/>
              </w:rPr>
              <w:t xml:space="preserve"> </w:t>
            </w:r>
            <w:r w:rsidR="002F0E8A" w:rsidRPr="002F0E8A">
              <w:rPr>
                <w:sz w:val="24"/>
                <w:szCs w:val="24"/>
                <w:lang w:val="cs-CZ"/>
              </w:rPr>
              <w:t>3828161/0100</w:t>
            </w:r>
          </w:p>
        </w:tc>
      </w:tr>
      <w:tr w:rsidR="00861217" w:rsidRPr="002F0E8A" w14:paraId="38E5186A" w14:textId="77777777" w:rsidTr="00613F0B">
        <w:tc>
          <w:tcPr>
            <w:tcW w:w="5000" w:type="pct"/>
          </w:tcPr>
          <w:p w14:paraId="57E2F530" w14:textId="77777777" w:rsidR="00861217" w:rsidRPr="002F0E8A" w:rsidRDefault="00861217" w:rsidP="002C102F">
            <w:pPr>
              <w:pStyle w:val="NormalTextIndent"/>
              <w:suppressAutoHyphens/>
              <w:rPr>
                <w:b/>
                <w:sz w:val="24"/>
                <w:szCs w:val="24"/>
                <w:lang w:val="cs-CZ"/>
              </w:rPr>
            </w:pPr>
            <w:r w:rsidRPr="002F0E8A">
              <w:rPr>
                <w:sz w:val="24"/>
                <w:szCs w:val="24"/>
                <w:lang w:val="cs-CZ"/>
              </w:rPr>
              <w:t>(dále jen jako „</w:t>
            </w:r>
            <w:r w:rsidRPr="002F0E8A">
              <w:rPr>
                <w:b/>
                <w:bCs/>
                <w:sz w:val="24"/>
                <w:szCs w:val="24"/>
                <w:lang w:val="cs-CZ"/>
              </w:rPr>
              <w:t>Prodávající</w:t>
            </w:r>
            <w:r w:rsidRPr="002F0E8A">
              <w:rPr>
                <w:sz w:val="24"/>
                <w:szCs w:val="24"/>
                <w:lang w:val="cs-CZ"/>
              </w:rPr>
              <w:t>“)</w:t>
            </w:r>
          </w:p>
        </w:tc>
      </w:tr>
      <w:tr w:rsidR="00861217" w:rsidRPr="002F0E8A" w14:paraId="70439DE8" w14:textId="77777777" w:rsidTr="00613F0B">
        <w:tc>
          <w:tcPr>
            <w:tcW w:w="5000" w:type="pct"/>
          </w:tcPr>
          <w:p w14:paraId="47E67C84" w14:textId="77777777" w:rsidR="00861217" w:rsidRPr="002F0E8A" w:rsidRDefault="00861217" w:rsidP="002C102F">
            <w:pPr>
              <w:pStyle w:val="NormalTextIndent"/>
              <w:suppressAutoHyphens/>
              <w:rPr>
                <w:bCs/>
                <w:sz w:val="24"/>
                <w:szCs w:val="24"/>
                <w:lang w:val="cs-CZ"/>
              </w:rPr>
            </w:pPr>
            <w:r w:rsidRPr="002F0E8A">
              <w:rPr>
                <w:bCs/>
                <w:sz w:val="24"/>
                <w:szCs w:val="24"/>
                <w:lang w:val="cs-CZ"/>
              </w:rPr>
              <w:t>a</w:t>
            </w:r>
          </w:p>
        </w:tc>
      </w:tr>
      <w:tr w:rsidR="00861217" w:rsidRPr="00C93C15" w14:paraId="517F8F02" w14:textId="77777777" w:rsidTr="00613F0B">
        <w:tc>
          <w:tcPr>
            <w:tcW w:w="5000" w:type="pct"/>
          </w:tcPr>
          <w:sdt>
            <w:sdtPr>
              <w:rPr>
                <w:b/>
                <w:bCs/>
                <w:sz w:val="24"/>
                <w:szCs w:val="24"/>
                <w:highlight w:val="yellow"/>
                <w:lang w:val="cs-CZ"/>
              </w:rPr>
              <w:id w:val="-376392512"/>
              <w:placeholder>
                <w:docPart w:val="DefaultPlaceholder_-1854013440"/>
              </w:placeholder>
              <w:text/>
            </w:sdtPr>
            <w:sdtContent>
              <w:p w14:paraId="6D0DB1D5" w14:textId="21CBAFAB" w:rsidR="00861217" w:rsidRPr="002F0E8A" w:rsidRDefault="00861217" w:rsidP="002C102F">
                <w:pPr>
                  <w:pStyle w:val="NormalTextIndent"/>
                  <w:suppressAutoHyphens/>
                  <w:rPr>
                    <w:b/>
                    <w:bCs/>
                    <w:sz w:val="24"/>
                    <w:szCs w:val="24"/>
                    <w:lang w:val="cs-CZ"/>
                  </w:rPr>
                </w:pPr>
                <w:r w:rsidRPr="00C93C15">
                  <w:rPr>
                    <w:b/>
                    <w:bCs/>
                    <w:sz w:val="24"/>
                    <w:szCs w:val="24"/>
                    <w:highlight w:val="yellow"/>
                    <w:lang w:val="cs-CZ"/>
                  </w:rPr>
                  <w:t>XXXX</w:t>
                </w:r>
              </w:p>
            </w:sdtContent>
          </w:sdt>
          <w:p w14:paraId="416C2F97" w14:textId="7BFD356A" w:rsidR="00861217" w:rsidRPr="002F0E8A" w:rsidRDefault="00861217" w:rsidP="002C102F">
            <w:pPr>
              <w:pStyle w:val="NormalTextIndent"/>
              <w:suppressAutoHyphens/>
              <w:spacing w:before="0"/>
              <w:rPr>
                <w:sz w:val="24"/>
                <w:szCs w:val="24"/>
                <w:lang w:val="cs-CZ"/>
              </w:rPr>
            </w:pPr>
            <w:r w:rsidRPr="002F0E8A">
              <w:rPr>
                <w:sz w:val="24"/>
                <w:szCs w:val="24"/>
                <w:lang w:val="cs-CZ"/>
              </w:rPr>
              <w:t>Bytem/se sídlem</w:t>
            </w:r>
            <w:r w:rsidR="00C93C15">
              <w:rPr>
                <w:sz w:val="24"/>
                <w:szCs w:val="24"/>
                <w:lang w:val="cs-CZ"/>
              </w:rPr>
              <w:t xml:space="preserve">: </w:t>
            </w:r>
            <w:sdt>
              <w:sdtPr>
                <w:rPr>
                  <w:sz w:val="24"/>
                  <w:szCs w:val="24"/>
                  <w:highlight w:val="yellow"/>
                  <w:lang w:val="cs-CZ"/>
                </w:rPr>
                <w:id w:val="-1049291817"/>
                <w:placeholder>
                  <w:docPart w:val="DefaultPlaceholder_-1854013440"/>
                </w:placeholder>
                <w:text/>
              </w:sdtPr>
              <w:sdtContent>
                <w:r w:rsidR="00C93C15" w:rsidRPr="00C93C15">
                  <w:rPr>
                    <w:sz w:val="24"/>
                    <w:szCs w:val="24"/>
                    <w:highlight w:val="yellow"/>
                    <w:lang w:val="cs-CZ"/>
                  </w:rPr>
                  <w:t>XXXX</w:t>
                </w:r>
              </w:sdtContent>
            </w:sdt>
          </w:p>
          <w:p w14:paraId="6E6A8D64" w14:textId="119938F2" w:rsidR="00861217" w:rsidRPr="002F0E8A" w:rsidRDefault="00861217" w:rsidP="002C102F">
            <w:pPr>
              <w:pStyle w:val="NormalTextIndent"/>
              <w:suppressAutoHyphens/>
              <w:spacing w:before="0"/>
              <w:rPr>
                <w:sz w:val="24"/>
                <w:szCs w:val="24"/>
                <w:lang w:val="cs-CZ"/>
              </w:rPr>
            </w:pPr>
            <w:r w:rsidRPr="002F0E8A">
              <w:rPr>
                <w:sz w:val="24"/>
                <w:szCs w:val="24"/>
                <w:lang w:val="cs-CZ"/>
              </w:rPr>
              <w:t xml:space="preserve">r.č./IČO: </w:t>
            </w:r>
            <w:sdt>
              <w:sdtPr>
                <w:rPr>
                  <w:sz w:val="24"/>
                  <w:szCs w:val="24"/>
                  <w:highlight w:val="yellow"/>
                  <w:lang w:val="cs-CZ"/>
                </w:rPr>
                <w:id w:val="-2076036293"/>
                <w:placeholder>
                  <w:docPart w:val="DefaultPlaceholder_-1854013440"/>
                </w:placeholder>
                <w:text/>
              </w:sdtPr>
              <w:sdtContent>
                <w:r w:rsidR="00C93C15" w:rsidRPr="00C93C15">
                  <w:rPr>
                    <w:sz w:val="24"/>
                    <w:szCs w:val="24"/>
                    <w:highlight w:val="yellow"/>
                    <w:lang w:val="cs-CZ"/>
                  </w:rPr>
                  <w:t>XXXX</w:t>
                </w:r>
              </w:sdtContent>
            </w:sdt>
          </w:p>
          <w:p w14:paraId="2ACE9038" w14:textId="785C8792" w:rsidR="00861217" w:rsidRPr="002F0E8A" w:rsidRDefault="00861217" w:rsidP="002C102F">
            <w:pPr>
              <w:pStyle w:val="NormalTextIndent"/>
              <w:suppressAutoHyphens/>
              <w:spacing w:before="0"/>
              <w:rPr>
                <w:sz w:val="24"/>
                <w:szCs w:val="24"/>
                <w:lang w:val="cs-CZ"/>
              </w:rPr>
            </w:pPr>
            <w:r w:rsidRPr="002F0E8A">
              <w:rPr>
                <w:sz w:val="24"/>
                <w:szCs w:val="24"/>
                <w:lang w:val="cs-CZ"/>
              </w:rPr>
              <w:t>Zastoupená</w:t>
            </w:r>
            <w:r w:rsidR="00C93C15">
              <w:rPr>
                <w:sz w:val="24"/>
                <w:szCs w:val="24"/>
                <w:lang w:val="cs-CZ"/>
              </w:rPr>
              <w:t xml:space="preserve">: </w:t>
            </w:r>
            <w:sdt>
              <w:sdtPr>
                <w:rPr>
                  <w:sz w:val="24"/>
                  <w:szCs w:val="24"/>
                  <w:highlight w:val="yellow"/>
                  <w:lang w:val="cs-CZ"/>
                </w:rPr>
                <w:id w:val="563304965"/>
                <w:placeholder>
                  <w:docPart w:val="DefaultPlaceholder_-1854013440"/>
                </w:placeholder>
                <w:text/>
              </w:sdtPr>
              <w:sdtContent>
                <w:r w:rsidR="00C93C15" w:rsidRPr="00C93C15">
                  <w:rPr>
                    <w:sz w:val="24"/>
                    <w:szCs w:val="24"/>
                    <w:highlight w:val="yellow"/>
                    <w:lang w:val="cs-CZ"/>
                  </w:rPr>
                  <w:t>XXX</w:t>
                </w:r>
              </w:sdtContent>
            </w:sdt>
          </w:p>
        </w:tc>
      </w:tr>
      <w:tr w:rsidR="00861217" w:rsidRPr="002F0E8A" w14:paraId="3C0B6F93" w14:textId="77777777" w:rsidTr="00613F0B">
        <w:tc>
          <w:tcPr>
            <w:tcW w:w="5000" w:type="pct"/>
          </w:tcPr>
          <w:p w14:paraId="259E1153" w14:textId="77777777" w:rsidR="00861217" w:rsidRPr="002F0E8A" w:rsidRDefault="00861217" w:rsidP="002C102F">
            <w:pPr>
              <w:pStyle w:val="NormalTextIndent"/>
              <w:suppressAutoHyphens/>
              <w:rPr>
                <w:b/>
                <w:bCs/>
                <w:sz w:val="24"/>
                <w:szCs w:val="24"/>
                <w:lang w:val="cs-CZ"/>
              </w:rPr>
            </w:pPr>
            <w:r w:rsidRPr="002F0E8A">
              <w:rPr>
                <w:bCs/>
                <w:sz w:val="24"/>
                <w:szCs w:val="24"/>
                <w:lang w:val="cs-CZ"/>
              </w:rPr>
              <w:t xml:space="preserve">(dále jen jako </w:t>
            </w:r>
            <w:r w:rsidRPr="002F0E8A">
              <w:rPr>
                <w:sz w:val="24"/>
                <w:szCs w:val="24"/>
                <w:lang w:val="cs-CZ"/>
              </w:rPr>
              <w:t>„</w:t>
            </w:r>
            <w:r w:rsidRPr="002F0E8A">
              <w:rPr>
                <w:b/>
                <w:bCs/>
                <w:sz w:val="24"/>
                <w:szCs w:val="24"/>
                <w:lang w:val="cs-CZ"/>
              </w:rPr>
              <w:t>Kupující</w:t>
            </w:r>
            <w:r w:rsidRPr="002F0E8A">
              <w:rPr>
                <w:bCs/>
                <w:sz w:val="24"/>
                <w:szCs w:val="24"/>
                <w:lang w:val="cs-CZ"/>
              </w:rPr>
              <w:t>“)</w:t>
            </w:r>
          </w:p>
        </w:tc>
      </w:tr>
      <w:tr w:rsidR="00861217" w:rsidRPr="002F0E8A" w14:paraId="09F58D22" w14:textId="77777777" w:rsidTr="00613F0B">
        <w:tc>
          <w:tcPr>
            <w:tcW w:w="5000" w:type="pct"/>
          </w:tcPr>
          <w:p w14:paraId="1DC42CC0" w14:textId="77777777" w:rsidR="00861217" w:rsidRPr="002F0E8A" w:rsidRDefault="00861217" w:rsidP="002C102F">
            <w:pPr>
              <w:pStyle w:val="NormalTextIndent"/>
              <w:suppressAutoHyphens/>
              <w:rPr>
                <w:sz w:val="24"/>
                <w:szCs w:val="24"/>
                <w:lang w:val="cs-CZ"/>
              </w:rPr>
            </w:pPr>
            <w:r w:rsidRPr="002F0E8A">
              <w:rPr>
                <w:sz w:val="24"/>
                <w:szCs w:val="24"/>
                <w:lang w:val="cs-CZ"/>
              </w:rPr>
              <w:t>Prodávající a Kupující, dále společně jen jako „</w:t>
            </w:r>
            <w:r w:rsidRPr="002F0E8A">
              <w:rPr>
                <w:b/>
                <w:bCs/>
                <w:sz w:val="24"/>
                <w:szCs w:val="24"/>
                <w:lang w:val="cs-CZ"/>
              </w:rPr>
              <w:t>Smluvní strany</w:t>
            </w:r>
            <w:r w:rsidRPr="002F0E8A">
              <w:rPr>
                <w:sz w:val="24"/>
                <w:szCs w:val="24"/>
                <w:lang w:val="cs-CZ"/>
              </w:rPr>
              <w:t>“, ujednávají následující:</w:t>
            </w:r>
          </w:p>
        </w:tc>
      </w:tr>
      <w:tr w:rsidR="00861217" w:rsidRPr="002F0E8A" w14:paraId="611D5C88" w14:textId="77777777" w:rsidTr="00613F0B">
        <w:tc>
          <w:tcPr>
            <w:tcW w:w="5000" w:type="pct"/>
          </w:tcPr>
          <w:p w14:paraId="2C33FA7D" w14:textId="789A4C3C" w:rsidR="00861217" w:rsidRPr="002F0E8A" w:rsidRDefault="00861217" w:rsidP="002C102F">
            <w:pPr>
              <w:pStyle w:val="NormalTextIndent"/>
              <w:suppressAutoHyphens/>
              <w:rPr>
                <w:sz w:val="24"/>
                <w:szCs w:val="24"/>
                <w:lang w:val="cs-CZ"/>
              </w:rPr>
            </w:pPr>
          </w:p>
        </w:tc>
      </w:tr>
      <w:tr w:rsidR="00861217" w:rsidRPr="002F0E8A" w14:paraId="7A8FB7C1" w14:textId="77777777" w:rsidTr="00613F0B">
        <w:tc>
          <w:tcPr>
            <w:tcW w:w="5000" w:type="pct"/>
          </w:tcPr>
          <w:p w14:paraId="3E73C66A" w14:textId="77777777" w:rsidR="00861217" w:rsidRPr="002F0E8A" w:rsidRDefault="00861217" w:rsidP="002C102F">
            <w:pPr>
              <w:pStyle w:val="Nadpis1"/>
              <w:keepNext w:val="0"/>
              <w:keepLines w:val="0"/>
              <w:suppressAutoHyphens/>
              <w:rPr>
                <w:szCs w:val="24"/>
                <w:lang w:val="cs-CZ"/>
              </w:rPr>
            </w:pPr>
            <w:r w:rsidRPr="002F0E8A">
              <w:rPr>
                <w:szCs w:val="24"/>
                <w:lang w:val="cs-CZ"/>
              </w:rPr>
              <w:t>Předmět převodu</w:t>
            </w:r>
          </w:p>
        </w:tc>
      </w:tr>
      <w:tr w:rsidR="00861217" w:rsidRPr="002F0E8A" w14:paraId="12080C42" w14:textId="77777777" w:rsidTr="00613F0B">
        <w:tc>
          <w:tcPr>
            <w:tcW w:w="5000" w:type="pct"/>
          </w:tcPr>
          <w:p w14:paraId="768972DA" w14:textId="77777777" w:rsidR="00861217" w:rsidRPr="004061F6" w:rsidRDefault="00861217" w:rsidP="002C102F">
            <w:pPr>
              <w:pStyle w:val="NormalTextIndent"/>
              <w:suppressAutoHyphens/>
              <w:rPr>
                <w:sz w:val="24"/>
                <w:szCs w:val="24"/>
                <w:lang w:val="cs-CZ"/>
              </w:rPr>
            </w:pPr>
            <w:r w:rsidRPr="004061F6">
              <w:rPr>
                <w:sz w:val="24"/>
                <w:szCs w:val="24"/>
                <w:lang w:val="cs-CZ"/>
              </w:rPr>
              <w:t>Prodávající prohlašuje, že má ve svém výlučném vlastnictví následující nemovité věci:</w:t>
            </w:r>
          </w:p>
        </w:tc>
      </w:tr>
      <w:tr w:rsidR="00861217" w:rsidRPr="00C93C15" w14:paraId="5D88112B" w14:textId="77777777" w:rsidTr="00613F0B">
        <w:tc>
          <w:tcPr>
            <w:tcW w:w="5000" w:type="pct"/>
          </w:tcPr>
          <w:p w14:paraId="59CB0B94" w14:textId="6BC845A9" w:rsidR="00861217" w:rsidRPr="004061F6" w:rsidRDefault="00861217" w:rsidP="002C102F">
            <w:pPr>
              <w:pStyle w:val="NormalTextIndent"/>
              <w:suppressAutoHyphens/>
              <w:rPr>
                <w:sz w:val="24"/>
                <w:szCs w:val="24"/>
                <w:lang w:val="cs-CZ"/>
              </w:rPr>
            </w:pPr>
            <w:r w:rsidRPr="004061F6">
              <w:rPr>
                <w:bCs/>
                <w:sz w:val="24"/>
                <w:szCs w:val="24"/>
                <w:lang w:val="cs-CZ"/>
              </w:rPr>
              <w:t>i)</w:t>
            </w:r>
            <w:r w:rsidRPr="004061F6">
              <w:rPr>
                <w:b/>
                <w:sz w:val="24"/>
                <w:szCs w:val="24"/>
                <w:lang w:val="cs-CZ"/>
              </w:rPr>
              <w:t xml:space="preserve"> </w:t>
            </w:r>
            <w:bookmarkStart w:id="0" w:name="_Hlk64488401"/>
            <w:r w:rsidRPr="004061F6">
              <w:rPr>
                <w:bCs/>
                <w:sz w:val="24"/>
                <w:szCs w:val="24"/>
                <w:lang w:val="cs-CZ"/>
              </w:rPr>
              <w:t>pozemek parc. č.</w:t>
            </w:r>
            <w:bookmarkEnd w:id="0"/>
            <w:r w:rsidRPr="004061F6">
              <w:rPr>
                <w:bCs/>
                <w:sz w:val="24"/>
                <w:szCs w:val="24"/>
                <w:lang w:val="cs-CZ"/>
              </w:rPr>
              <w:t xml:space="preserve"> </w:t>
            </w:r>
            <w:sdt>
              <w:sdtPr>
                <w:rPr>
                  <w:bCs/>
                  <w:sz w:val="24"/>
                  <w:szCs w:val="24"/>
                  <w:highlight w:val="yellow"/>
                  <w:lang w:val="cs-CZ"/>
                </w:rPr>
                <w:id w:val="1042416623"/>
                <w:placeholder>
                  <w:docPart w:val="DefaultPlaceholder_-1854013440"/>
                </w:placeholder>
                <w:text/>
              </w:sdtPr>
              <w:sdtContent>
                <w:r w:rsidRPr="00C93C15">
                  <w:rPr>
                    <w:bCs/>
                    <w:sz w:val="24"/>
                    <w:szCs w:val="24"/>
                    <w:highlight w:val="yellow"/>
                    <w:lang w:val="cs-CZ"/>
                  </w:rPr>
                  <w:t>XXX</w:t>
                </w:r>
              </w:sdtContent>
            </w:sdt>
            <w:r w:rsidRPr="004061F6">
              <w:rPr>
                <w:sz w:val="24"/>
                <w:szCs w:val="24"/>
                <w:lang w:val="cs-CZ"/>
              </w:rPr>
              <w:t xml:space="preserve">, </w:t>
            </w:r>
            <w:r w:rsidRPr="004061F6">
              <w:rPr>
                <w:bCs/>
                <w:sz w:val="24"/>
                <w:szCs w:val="24"/>
                <w:lang w:val="cs-CZ"/>
              </w:rPr>
              <w:t xml:space="preserve">o velikosti </w:t>
            </w:r>
            <w:sdt>
              <w:sdtPr>
                <w:rPr>
                  <w:bCs/>
                  <w:sz w:val="24"/>
                  <w:szCs w:val="24"/>
                  <w:highlight w:val="yellow"/>
                  <w:lang w:val="cs-CZ"/>
                </w:rPr>
                <w:id w:val="-95864783"/>
                <w:placeholder>
                  <w:docPart w:val="DefaultPlaceholder_-1854013440"/>
                </w:placeholder>
                <w:text/>
              </w:sdtPr>
              <w:sdtContent>
                <w:r w:rsidRPr="00C93C15">
                  <w:rPr>
                    <w:bCs/>
                    <w:sz w:val="24"/>
                    <w:szCs w:val="24"/>
                    <w:highlight w:val="yellow"/>
                    <w:lang w:val="cs-CZ"/>
                  </w:rPr>
                  <w:t>XXXX</w:t>
                </w:r>
              </w:sdtContent>
            </w:sdt>
            <w:r w:rsidRPr="004061F6">
              <w:rPr>
                <w:bCs/>
                <w:sz w:val="24"/>
                <w:szCs w:val="24"/>
                <w:lang w:val="cs-CZ"/>
              </w:rPr>
              <w:t>;</w:t>
            </w:r>
          </w:p>
        </w:tc>
      </w:tr>
      <w:tr w:rsidR="00861217" w:rsidRPr="00C93C15" w14:paraId="63EF7E28" w14:textId="77777777" w:rsidTr="00613F0B">
        <w:tc>
          <w:tcPr>
            <w:tcW w:w="5000" w:type="pct"/>
          </w:tcPr>
          <w:p w14:paraId="480787BF" w14:textId="59D4E0E2" w:rsidR="00861217" w:rsidRPr="004E1A27" w:rsidRDefault="00861217" w:rsidP="002C102F">
            <w:pPr>
              <w:pStyle w:val="NormalTextIndent"/>
              <w:suppressAutoHyphens/>
              <w:rPr>
                <w:bCs/>
                <w:sz w:val="24"/>
                <w:szCs w:val="24"/>
                <w:lang w:val="cs-CZ"/>
              </w:rPr>
            </w:pPr>
            <w:r w:rsidRPr="004061F6">
              <w:rPr>
                <w:bCs/>
                <w:sz w:val="24"/>
                <w:szCs w:val="24"/>
                <w:lang w:val="cs-CZ"/>
              </w:rPr>
              <w:t xml:space="preserve">v katastrálním území Chotusice, obec Chotusice, jak stojí ke dni uzavření této Smlouvy zapsáno na LV č. </w:t>
            </w:r>
            <w:r w:rsidR="004E1A27">
              <w:rPr>
                <w:bCs/>
                <w:sz w:val="24"/>
                <w:szCs w:val="24"/>
                <w:lang w:val="cs-CZ"/>
              </w:rPr>
              <w:t>10001</w:t>
            </w:r>
            <w:r w:rsidRPr="004E1A27">
              <w:rPr>
                <w:bCs/>
                <w:sz w:val="24"/>
                <w:szCs w:val="24"/>
                <w:lang w:val="cs-CZ"/>
              </w:rPr>
              <w:t xml:space="preserve"> (pozemek) pro katastrální území Chotusice, okres Kutná Hora u Katastrálního úřadu pro Středočeský kraj, Katastrální pracoviště Kutná Hora (dále jen jako „</w:t>
            </w:r>
            <w:r w:rsidRPr="004E1A27">
              <w:rPr>
                <w:b/>
                <w:bCs/>
                <w:sz w:val="24"/>
                <w:szCs w:val="24"/>
                <w:lang w:val="cs-CZ"/>
              </w:rPr>
              <w:t>Nemovitost</w:t>
            </w:r>
            <w:r w:rsidRPr="004E1A27">
              <w:rPr>
                <w:bCs/>
                <w:sz w:val="24"/>
                <w:szCs w:val="24"/>
                <w:lang w:val="cs-CZ"/>
              </w:rPr>
              <w:t>“).</w:t>
            </w:r>
          </w:p>
        </w:tc>
      </w:tr>
      <w:tr w:rsidR="00861217" w:rsidRPr="002F0E8A" w14:paraId="0680AF46" w14:textId="77777777" w:rsidTr="00613F0B">
        <w:tc>
          <w:tcPr>
            <w:tcW w:w="5000" w:type="pct"/>
          </w:tcPr>
          <w:p w14:paraId="75C7A137" w14:textId="77777777" w:rsidR="00861217" w:rsidRPr="002F0E8A" w:rsidRDefault="00861217" w:rsidP="002C102F">
            <w:pPr>
              <w:pStyle w:val="Nadpis1"/>
              <w:keepNext w:val="0"/>
              <w:keepLines w:val="0"/>
              <w:suppressAutoHyphens/>
              <w:rPr>
                <w:szCs w:val="24"/>
                <w:lang w:val="cs-CZ"/>
              </w:rPr>
            </w:pPr>
            <w:r w:rsidRPr="002F0E8A">
              <w:rPr>
                <w:szCs w:val="24"/>
                <w:lang w:val="cs-CZ"/>
              </w:rPr>
              <w:lastRenderedPageBreak/>
              <w:t>Předmět Smlouvy</w:t>
            </w:r>
          </w:p>
        </w:tc>
      </w:tr>
      <w:tr w:rsidR="00861217" w:rsidRPr="002F0E8A" w14:paraId="106E732A" w14:textId="77777777" w:rsidTr="00613F0B">
        <w:tc>
          <w:tcPr>
            <w:tcW w:w="5000" w:type="pct"/>
          </w:tcPr>
          <w:p w14:paraId="11D0C050" w14:textId="3E27AD57" w:rsidR="00861217" w:rsidRPr="004061F6" w:rsidRDefault="00861217" w:rsidP="002C102F">
            <w:pPr>
              <w:pStyle w:val="NormalTextIndent"/>
              <w:suppressAutoHyphens/>
              <w:rPr>
                <w:sz w:val="24"/>
                <w:szCs w:val="24"/>
                <w:lang w:val="cs-CZ"/>
              </w:rPr>
            </w:pPr>
            <w:r w:rsidRPr="004061F6">
              <w:rPr>
                <w:sz w:val="24"/>
                <w:szCs w:val="24"/>
                <w:lang w:val="cs-CZ"/>
              </w:rPr>
              <w:t>Prodávající touto Smlouvou prodává Kupujícímu Nemovitost se všemi součástmi a příslušenstvím a se všemi právy a povinnostmi v tom rozsahu, jak tyto doposud sám užíval a Kupující touto Smlouvou Nemovitost se všemi součástmi a příslušenstvím a se všemi právy a povinnostmi, od Prodávajícího kupuje do výlučného vlastnictví</w:t>
            </w:r>
            <w:r w:rsidR="00505020">
              <w:rPr>
                <w:sz w:val="24"/>
                <w:szCs w:val="24"/>
                <w:lang w:val="cs-CZ"/>
              </w:rPr>
              <w:t>/do společného jmění manželů</w:t>
            </w:r>
            <w:r w:rsidR="00505020">
              <w:rPr>
                <w:rStyle w:val="Znakapoznpodarou"/>
                <w:sz w:val="24"/>
                <w:szCs w:val="24"/>
                <w:lang w:val="cs-CZ"/>
              </w:rPr>
              <w:footnoteReference w:id="1"/>
            </w:r>
            <w:r w:rsidRPr="004061F6">
              <w:rPr>
                <w:sz w:val="24"/>
                <w:szCs w:val="24"/>
                <w:lang w:val="cs-CZ"/>
              </w:rPr>
              <w:t xml:space="preserve">, a to za kupní cenu </w:t>
            </w:r>
            <w:sdt>
              <w:sdtPr>
                <w:rPr>
                  <w:b/>
                  <w:bCs/>
                  <w:sz w:val="24"/>
                  <w:szCs w:val="24"/>
                  <w:highlight w:val="yellow"/>
                  <w:lang w:val="cs-CZ"/>
                </w:rPr>
                <w:id w:val="-1667468333"/>
                <w:placeholder>
                  <w:docPart w:val="DefaultPlaceholder_-1854013440"/>
                </w:placeholder>
                <w:text/>
              </w:sdtPr>
              <w:sdtContent>
                <w:r w:rsidRPr="00C93C15">
                  <w:rPr>
                    <w:b/>
                    <w:bCs/>
                    <w:sz w:val="24"/>
                    <w:szCs w:val="24"/>
                    <w:highlight w:val="yellow"/>
                    <w:lang w:val="cs-CZ"/>
                  </w:rPr>
                  <w:t>XXXXXXXXXXX</w:t>
                </w:r>
              </w:sdtContent>
            </w:sdt>
            <w:r w:rsidRPr="004061F6">
              <w:rPr>
                <w:b/>
                <w:bCs/>
                <w:sz w:val="24"/>
                <w:szCs w:val="24"/>
                <w:lang w:val="cs-CZ"/>
              </w:rPr>
              <w:t>,- Kč</w:t>
            </w:r>
            <w:r w:rsidRPr="004061F6">
              <w:rPr>
                <w:b/>
                <w:sz w:val="24"/>
                <w:szCs w:val="24"/>
                <w:lang w:val="cs-CZ"/>
              </w:rPr>
              <w:t xml:space="preserve"> </w:t>
            </w:r>
            <w:r w:rsidRPr="004061F6">
              <w:rPr>
                <w:sz w:val="24"/>
                <w:szCs w:val="24"/>
                <w:lang w:val="cs-CZ"/>
              </w:rPr>
              <w:t xml:space="preserve">(slovy: </w:t>
            </w:r>
            <w:sdt>
              <w:sdtPr>
                <w:rPr>
                  <w:sz w:val="24"/>
                  <w:szCs w:val="24"/>
                  <w:highlight w:val="yellow"/>
                  <w:lang w:val="cs-CZ"/>
                </w:rPr>
                <w:id w:val="644083078"/>
                <w:placeholder>
                  <w:docPart w:val="DefaultPlaceholder_-1854013440"/>
                </w:placeholder>
                <w:text/>
              </w:sdtPr>
              <w:sdtContent>
                <w:r w:rsidRPr="00C93C15">
                  <w:rPr>
                    <w:sz w:val="24"/>
                    <w:szCs w:val="24"/>
                    <w:highlight w:val="yellow"/>
                    <w:lang w:val="cs-CZ"/>
                  </w:rPr>
                  <w:t>XXXXXXXXXXXXXXXXXXXXXXXXX</w:t>
                </w:r>
              </w:sdtContent>
            </w:sdt>
            <w:r w:rsidRPr="004061F6">
              <w:rPr>
                <w:sz w:val="24"/>
                <w:szCs w:val="24"/>
                <w:lang w:val="cs-CZ"/>
              </w:rPr>
              <w:t xml:space="preserve"> korun českých), (dále jen jako „</w:t>
            </w:r>
            <w:r w:rsidRPr="004061F6">
              <w:rPr>
                <w:b/>
                <w:sz w:val="24"/>
                <w:szCs w:val="24"/>
                <w:lang w:val="cs-CZ"/>
              </w:rPr>
              <w:t>Kupní cena</w:t>
            </w:r>
            <w:r w:rsidRPr="004061F6">
              <w:rPr>
                <w:sz w:val="24"/>
                <w:szCs w:val="24"/>
                <w:lang w:val="cs-CZ"/>
              </w:rPr>
              <w:t>“), a za dalších podmínek sjednaných touto Smlouvou.</w:t>
            </w:r>
          </w:p>
        </w:tc>
      </w:tr>
      <w:tr w:rsidR="00861217" w:rsidRPr="002F0E8A" w14:paraId="02374567" w14:textId="77777777" w:rsidTr="00613F0B">
        <w:tc>
          <w:tcPr>
            <w:tcW w:w="5000" w:type="pct"/>
          </w:tcPr>
          <w:p w14:paraId="7844CB46" w14:textId="77777777" w:rsidR="00861217" w:rsidRPr="002F0E8A" w:rsidRDefault="00861217" w:rsidP="002C102F">
            <w:pPr>
              <w:pStyle w:val="Nadpis1"/>
              <w:keepNext w:val="0"/>
              <w:keepLines w:val="0"/>
              <w:suppressAutoHyphens/>
              <w:rPr>
                <w:szCs w:val="24"/>
                <w:lang w:val="cs-CZ"/>
              </w:rPr>
            </w:pPr>
            <w:r w:rsidRPr="002F0E8A">
              <w:rPr>
                <w:szCs w:val="24"/>
                <w:lang w:val="cs-CZ"/>
              </w:rPr>
              <w:t>Úhrada Kupní ceny</w:t>
            </w:r>
          </w:p>
        </w:tc>
      </w:tr>
      <w:tr w:rsidR="00861217" w:rsidRPr="002F0E8A" w14:paraId="28032748" w14:textId="77777777" w:rsidTr="00613F0B">
        <w:tc>
          <w:tcPr>
            <w:tcW w:w="5000" w:type="pct"/>
          </w:tcPr>
          <w:p w14:paraId="1D6E3565" w14:textId="0D6DAE20" w:rsidR="00861217" w:rsidRPr="007254EC" w:rsidRDefault="00861217" w:rsidP="002C102F">
            <w:pPr>
              <w:pStyle w:val="NormalNumberedIndent"/>
              <w:suppressAutoHyphens/>
              <w:rPr>
                <w:sz w:val="24"/>
                <w:szCs w:val="24"/>
                <w:lang w:val="cs-CZ"/>
              </w:rPr>
            </w:pPr>
            <w:r w:rsidRPr="007254EC">
              <w:rPr>
                <w:sz w:val="24"/>
                <w:szCs w:val="24"/>
                <w:lang w:val="cs-CZ"/>
              </w:rPr>
              <w:t xml:space="preserve">První část Kupní ceny ve výši </w:t>
            </w:r>
            <w:r w:rsidR="00011BBF">
              <w:rPr>
                <w:sz w:val="24"/>
                <w:szCs w:val="24"/>
                <w:lang w:val="cs-CZ"/>
              </w:rPr>
              <w:t>100.000</w:t>
            </w:r>
            <w:r w:rsidRPr="007254EC">
              <w:rPr>
                <w:sz w:val="24"/>
                <w:szCs w:val="24"/>
                <w:lang w:val="cs-CZ"/>
              </w:rPr>
              <w:t xml:space="preserve">,- Kč (slovy: </w:t>
            </w:r>
            <w:r w:rsidR="00011BBF">
              <w:rPr>
                <w:sz w:val="24"/>
                <w:szCs w:val="24"/>
                <w:lang w:val="cs-CZ"/>
              </w:rPr>
              <w:t xml:space="preserve">jednostotisíc </w:t>
            </w:r>
            <w:r w:rsidRPr="007254EC">
              <w:rPr>
                <w:sz w:val="24"/>
                <w:szCs w:val="24"/>
                <w:lang w:val="cs-CZ"/>
              </w:rPr>
              <w:t>korun českých) uhradil Kupující před podpisem této Smlouvy na účet Prodávajícího, čímž se má tato část Kupní ceny za uhrazenou.</w:t>
            </w:r>
          </w:p>
        </w:tc>
      </w:tr>
      <w:tr w:rsidR="00861217" w:rsidRPr="005655F6" w14:paraId="4906E36D" w14:textId="77777777" w:rsidTr="00613F0B">
        <w:tc>
          <w:tcPr>
            <w:tcW w:w="5000" w:type="pct"/>
          </w:tcPr>
          <w:p w14:paraId="1C06B97E" w14:textId="6130FBB9" w:rsidR="00861217" w:rsidRPr="007254EC" w:rsidRDefault="00861217" w:rsidP="002C102F">
            <w:pPr>
              <w:pStyle w:val="NormalNumberedIndent"/>
              <w:suppressAutoHyphens/>
              <w:rPr>
                <w:sz w:val="24"/>
                <w:szCs w:val="24"/>
                <w:lang w:val="cs-CZ"/>
              </w:rPr>
            </w:pPr>
            <w:r w:rsidRPr="007254EC">
              <w:rPr>
                <w:sz w:val="24"/>
                <w:szCs w:val="24"/>
                <w:lang w:val="cs-CZ"/>
              </w:rPr>
              <w:t xml:space="preserve">Druhou část Kupní ceny ve výši </w:t>
            </w:r>
            <w:sdt>
              <w:sdtPr>
                <w:rPr>
                  <w:sz w:val="24"/>
                  <w:szCs w:val="24"/>
                  <w:highlight w:val="yellow"/>
                  <w:lang w:val="cs-CZ"/>
                </w:rPr>
                <w:id w:val="-1486082806"/>
                <w:placeholder>
                  <w:docPart w:val="DefaultPlaceholder_-1854013440"/>
                </w:placeholder>
                <w:text/>
              </w:sdtPr>
              <w:sdtContent>
                <w:r w:rsidRPr="00C93C15">
                  <w:rPr>
                    <w:sz w:val="24"/>
                    <w:szCs w:val="24"/>
                    <w:highlight w:val="yellow"/>
                    <w:lang w:val="cs-CZ"/>
                  </w:rPr>
                  <w:t>XXXXXXXXXXXXXXXXX</w:t>
                </w:r>
              </w:sdtContent>
            </w:sdt>
            <w:r w:rsidRPr="007254EC">
              <w:rPr>
                <w:sz w:val="24"/>
                <w:szCs w:val="24"/>
                <w:lang w:val="cs-CZ"/>
              </w:rPr>
              <w:t xml:space="preserve">,- Kč (slovy: </w:t>
            </w:r>
            <w:sdt>
              <w:sdtPr>
                <w:rPr>
                  <w:sz w:val="24"/>
                  <w:szCs w:val="24"/>
                  <w:highlight w:val="yellow"/>
                  <w:lang w:val="cs-CZ"/>
                </w:rPr>
                <w:id w:val="1584103882"/>
                <w:placeholder>
                  <w:docPart w:val="DefaultPlaceholder_-1854013440"/>
                </w:placeholder>
                <w:text/>
              </w:sdtPr>
              <w:sdtContent>
                <w:r w:rsidRPr="00C93C15">
                  <w:rPr>
                    <w:sz w:val="24"/>
                    <w:szCs w:val="24"/>
                    <w:highlight w:val="yellow"/>
                    <w:lang w:val="cs-CZ"/>
                  </w:rPr>
                  <w:t>XXXXXXXXXXXXXXXXXXXXXX</w:t>
                </w:r>
              </w:sdtContent>
            </w:sdt>
            <w:r w:rsidRPr="007254EC">
              <w:rPr>
                <w:sz w:val="24"/>
                <w:szCs w:val="24"/>
                <w:lang w:val="cs-CZ"/>
              </w:rPr>
              <w:t xml:space="preserve"> korun českých) se zavazuje Kupující uhradit výhradně z vlastních prostředků/z dohodnuté hypotéky zřízené u …. Banky do </w:t>
            </w:r>
            <w:r w:rsidR="005655F6">
              <w:rPr>
                <w:sz w:val="24"/>
                <w:szCs w:val="24"/>
                <w:lang w:val="cs-CZ"/>
              </w:rPr>
              <w:t xml:space="preserve">patnácti </w:t>
            </w:r>
            <w:r w:rsidRPr="007254EC">
              <w:rPr>
                <w:sz w:val="24"/>
                <w:szCs w:val="24"/>
                <w:lang w:val="cs-CZ"/>
              </w:rPr>
              <w:t>(1</w:t>
            </w:r>
            <w:r w:rsidR="005655F6">
              <w:rPr>
                <w:sz w:val="24"/>
                <w:szCs w:val="24"/>
                <w:lang w:val="cs-CZ"/>
              </w:rPr>
              <w:t>5</w:t>
            </w:r>
            <w:r w:rsidRPr="007254EC">
              <w:rPr>
                <w:sz w:val="24"/>
                <w:szCs w:val="24"/>
                <w:lang w:val="cs-CZ"/>
              </w:rPr>
              <w:t xml:space="preserve">) </w:t>
            </w:r>
            <w:r w:rsidR="005655F6">
              <w:rPr>
                <w:sz w:val="24"/>
                <w:szCs w:val="24"/>
                <w:lang w:val="cs-CZ"/>
              </w:rPr>
              <w:t xml:space="preserve">kalendářních </w:t>
            </w:r>
            <w:r w:rsidRPr="007254EC">
              <w:rPr>
                <w:sz w:val="24"/>
                <w:szCs w:val="24"/>
                <w:lang w:val="cs-CZ"/>
              </w:rPr>
              <w:t xml:space="preserve">dnů od </w:t>
            </w:r>
            <w:r w:rsidR="005655F6">
              <w:rPr>
                <w:sz w:val="24"/>
                <w:szCs w:val="24"/>
                <w:lang w:val="cs-CZ"/>
              </w:rPr>
              <w:t>podpisu této Smlouvy</w:t>
            </w:r>
            <w:r w:rsidRPr="007254EC">
              <w:rPr>
                <w:sz w:val="24"/>
                <w:szCs w:val="24"/>
                <w:lang w:val="cs-CZ"/>
              </w:rPr>
              <w:t>.</w:t>
            </w:r>
          </w:p>
        </w:tc>
      </w:tr>
      <w:tr w:rsidR="00861217" w:rsidRPr="005655F6" w14:paraId="1559D8EF" w14:textId="77777777" w:rsidTr="00613F0B">
        <w:tc>
          <w:tcPr>
            <w:tcW w:w="5000" w:type="pct"/>
          </w:tcPr>
          <w:p w14:paraId="183A72FB" w14:textId="77777777" w:rsidR="00861217" w:rsidRPr="002F0E8A" w:rsidRDefault="00861217" w:rsidP="002C102F">
            <w:pPr>
              <w:pStyle w:val="Nadpis1"/>
              <w:keepNext w:val="0"/>
              <w:keepLines w:val="0"/>
              <w:suppressAutoHyphens/>
              <w:rPr>
                <w:szCs w:val="24"/>
                <w:lang w:val="cs-CZ"/>
              </w:rPr>
            </w:pPr>
            <w:r w:rsidRPr="002F0E8A">
              <w:rPr>
                <w:szCs w:val="24"/>
                <w:lang w:val="cs-CZ"/>
              </w:rPr>
              <w:t>Prohlášení a ujištění Smluvních stran</w:t>
            </w:r>
          </w:p>
        </w:tc>
      </w:tr>
      <w:tr w:rsidR="00861217" w:rsidRPr="005655F6" w14:paraId="704CFC64" w14:textId="77777777" w:rsidTr="00613F0B">
        <w:tc>
          <w:tcPr>
            <w:tcW w:w="5000" w:type="pct"/>
          </w:tcPr>
          <w:p w14:paraId="32E402D2" w14:textId="77777777" w:rsidR="00861217" w:rsidRPr="00A85E23" w:rsidRDefault="00861217" w:rsidP="002C102F">
            <w:pPr>
              <w:pStyle w:val="NormalNumberedIndent"/>
              <w:suppressAutoHyphens/>
              <w:rPr>
                <w:sz w:val="24"/>
                <w:szCs w:val="24"/>
                <w:lang w:val="cs-CZ"/>
              </w:rPr>
            </w:pPr>
            <w:r w:rsidRPr="00A85E23">
              <w:rPr>
                <w:sz w:val="24"/>
                <w:szCs w:val="24"/>
                <w:lang w:val="cs-CZ"/>
              </w:rPr>
              <w:t>Prodávající prohlašuje a ujišťuje Kupujícího, že:</w:t>
            </w:r>
          </w:p>
        </w:tc>
      </w:tr>
      <w:tr w:rsidR="00861217" w:rsidRPr="005655F6" w14:paraId="202392BF" w14:textId="77777777" w:rsidTr="00613F0B">
        <w:tc>
          <w:tcPr>
            <w:tcW w:w="5000" w:type="pct"/>
          </w:tcPr>
          <w:p w14:paraId="547B7AD1" w14:textId="5728CE4A" w:rsidR="00861217" w:rsidRPr="00A85E23" w:rsidRDefault="00861217" w:rsidP="002C102F">
            <w:pPr>
              <w:pStyle w:val="ListBulletIndent2ListBullet3"/>
              <w:suppressAutoHyphens/>
              <w:rPr>
                <w:sz w:val="24"/>
                <w:szCs w:val="24"/>
                <w:lang w:val="cs-CZ"/>
              </w:rPr>
            </w:pPr>
            <w:r w:rsidRPr="00A85E23">
              <w:rPr>
                <w:sz w:val="24"/>
                <w:szCs w:val="24"/>
                <w:lang w:val="cs-CZ"/>
              </w:rPr>
              <w:t>je výlučným vlastníkem Nemovitost</w:t>
            </w:r>
            <w:r w:rsidR="00F975E5" w:rsidRPr="00A85E23">
              <w:rPr>
                <w:sz w:val="24"/>
                <w:szCs w:val="24"/>
                <w:lang w:val="cs-CZ"/>
              </w:rPr>
              <w:t>i</w:t>
            </w:r>
            <w:r w:rsidRPr="00A85E23">
              <w:rPr>
                <w:sz w:val="24"/>
                <w:szCs w:val="24"/>
                <w:lang w:val="cs-CZ"/>
              </w:rPr>
              <w:t xml:space="preserve"> a je oprávněn s n</w:t>
            </w:r>
            <w:r w:rsidR="00F975E5" w:rsidRPr="00A85E23">
              <w:rPr>
                <w:sz w:val="24"/>
                <w:szCs w:val="24"/>
                <w:lang w:val="cs-CZ"/>
              </w:rPr>
              <w:t>í</w:t>
            </w:r>
            <w:r w:rsidRPr="00A85E23">
              <w:rPr>
                <w:sz w:val="24"/>
                <w:szCs w:val="24"/>
                <w:lang w:val="cs-CZ"/>
              </w:rPr>
              <w:t xml:space="preserve"> nakládat v plném rozsahu potřebném pro tuto Smlouvu;</w:t>
            </w:r>
          </w:p>
        </w:tc>
      </w:tr>
      <w:tr w:rsidR="00861217" w:rsidRPr="005655F6" w14:paraId="0BCBD127" w14:textId="77777777" w:rsidTr="00613F0B">
        <w:tc>
          <w:tcPr>
            <w:tcW w:w="5000" w:type="pct"/>
          </w:tcPr>
          <w:p w14:paraId="0FC175AB" w14:textId="17615D94" w:rsidR="00861217" w:rsidRPr="00A85E23" w:rsidRDefault="00861217" w:rsidP="002C102F">
            <w:pPr>
              <w:pStyle w:val="ListBulletIndent2ListBullet3"/>
              <w:suppressAutoHyphens/>
              <w:rPr>
                <w:sz w:val="24"/>
                <w:szCs w:val="24"/>
                <w:lang w:val="cs-CZ"/>
              </w:rPr>
            </w:pPr>
            <w:r w:rsidRPr="00A85E23">
              <w:rPr>
                <w:sz w:val="24"/>
                <w:szCs w:val="24"/>
                <w:lang w:val="cs-CZ"/>
              </w:rPr>
              <w:t>dle je</w:t>
            </w:r>
            <w:r w:rsidR="00F46AB8">
              <w:rPr>
                <w:sz w:val="24"/>
                <w:szCs w:val="24"/>
                <w:lang w:val="cs-CZ"/>
              </w:rPr>
              <w:t>ho</w:t>
            </w:r>
            <w:r w:rsidRPr="00A85E23">
              <w:rPr>
                <w:sz w:val="24"/>
                <w:szCs w:val="24"/>
                <w:lang w:val="cs-CZ"/>
              </w:rPr>
              <w:t xml:space="preserve"> informací </w:t>
            </w:r>
            <w:r w:rsidR="00F975E5" w:rsidRPr="00A85E23">
              <w:rPr>
                <w:sz w:val="24"/>
                <w:szCs w:val="24"/>
                <w:lang w:val="cs-CZ"/>
              </w:rPr>
              <w:t xml:space="preserve">je </w:t>
            </w:r>
            <w:r w:rsidRPr="00A85E23">
              <w:rPr>
                <w:sz w:val="24"/>
                <w:szCs w:val="24"/>
                <w:lang w:val="cs-CZ"/>
              </w:rPr>
              <w:t>Nemovitost prost</w:t>
            </w:r>
            <w:r w:rsidR="00F975E5" w:rsidRPr="00A85E23">
              <w:rPr>
                <w:sz w:val="24"/>
                <w:szCs w:val="24"/>
                <w:lang w:val="cs-CZ"/>
              </w:rPr>
              <w:t>a</w:t>
            </w:r>
            <w:r w:rsidRPr="00A85E23">
              <w:rPr>
                <w:sz w:val="24"/>
                <w:szCs w:val="24"/>
                <w:lang w:val="cs-CZ"/>
              </w:rPr>
              <w:t xml:space="preserve"> právních vad, zejména na nich nevázne žádné zástavní právo, žádné věcné břemeno, nájemní právo, ani do nabytí právní moci rozhodnutí o povolení vkladu vlastnického práva ve prospěch Kupujícího do katastru nemovitostí takováto práva nezřídí;</w:t>
            </w:r>
          </w:p>
        </w:tc>
      </w:tr>
      <w:tr w:rsidR="00861217" w:rsidRPr="005655F6" w14:paraId="5F536708" w14:textId="77777777" w:rsidTr="00613F0B">
        <w:tc>
          <w:tcPr>
            <w:tcW w:w="5000" w:type="pct"/>
          </w:tcPr>
          <w:p w14:paraId="25238934" w14:textId="4A08B2CB" w:rsidR="00861217" w:rsidRPr="00A85E23" w:rsidRDefault="00861217" w:rsidP="002C102F">
            <w:pPr>
              <w:pStyle w:val="ListBulletIndent2ListBullet3"/>
              <w:suppressAutoHyphens/>
              <w:rPr>
                <w:sz w:val="24"/>
                <w:szCs w:val="24"/>
                <w:lang w:val="cs-CZ"/>
              </w:rPr>
            </w:pPr>
            <w:r w:rsidRPr="00A85E23">
              <w:rPr>
                <w:sz w:val="24"/>
                <w:szCs w:val="24"/>
                <w:lang w:val="cs-CZ"/>
              </w:rPr>
              <w:t>dle je</w:t>
            </w:r>
            <w:r w:rsidR="00F46AB8">
              <w:rPr>
                <w:sz w:val="24"/>
                <w:szCs w:val="24"/>
                <w:lang w:val="cs-CZ"/>
              </w:rPr>
              <w:t>ho</w:t>
            </w:r>
            <w:r w:rsidRPr="00A85E23">
              <w:rPr>
                <w:sz w:val="24"/>
                <w:szCs w:val="24"/>
                <w:lang w:val="cs-CZ"/>
              </w:rPr>
              <w:t xml:space="preserve"> informací, Nemovitost ani žádná práva s n</w:t>
            </w:r>
            <w:r w:rsidR="00F975E5" w:rsidRPr="00A85E23">
              <w:rPr>
                <w:sz w:val="24"/>
                <w:szCs w:val="24"/>
                <w:lang w:val="cs-CZ"/>
              </w:rPr>
              <w:t>í</w:t>
            </w:r>
            <w:r w:rsidRPr="00A85E23">
              <w:rPr>
                <w:sz w:val="24"/>
                <w:szCs w:val="24"/>
                <w:lang w:val="cs-CZ"/>
              </w:rPr>
              <w:t xml:space="preserve"> spojená nejsou předmětem žádného sporu ani žádného řízení; žádná třetí osoba nevznesla ve vztahu k Nemovitost</w:t>
            </w:r>
            <w:r w:rsidR="00F975E5" w:rsidRPr="00A85E23">
              <w:rPr>
                <w:sz w:val="24"/>
                <w:szCs w:val="24"/>
                <w:lang w:val="cs-CZ"/>
              </w:rPr>
              <w:t>i</w:t>
            </w:r>
            <w:r w:rsidRPr="00A85E23">
              <w:rPr>
                <w:sz w:val="24"/>
                <w:szCs w:val="24"/>
                <w:lang w:val="cs-CZ"/>
              </w:rPr>
              <w:t xml:space="preserve"> nárok, v jehož důsledku by mohlo dojít k omezení jeho práva Nemovitost prodat Kupujícímu;</w:t>
            </w:r>
          </w:p>
        </w:tc>
      </w:tr>
      <w:tr w:rsidR="00861217" w:rsidRPr="005655F6" w14:paraId="4AFFBBA2" w14:textId="77777777" w:rsidTr="00613F0B">
        <w:tc>
          <w:tcPr>
            <w:tcW w:w="5000" w:type="pct"/>
          </w:tcPr>
          <w:p w14:paraId="1DA48143" w14:textId="537EE392" w:rsidR="00861217" w:rsidRPr="00A85E23" w:rsidRDefault="00861217" w:rsidP="002C102F">
            <w:pPr>
              <w:pStyle w:val="ListBulletIndent2ListBullet3"/>
              <w:suppressAutoHyphens/>
              <w:rPr>
                <w:sz w:val="24"/>
                <w:szCs w:val="24"/>
                <w:lang w:val="cs-CZ"/>
              </w:rPr>
            </w:pPr>
            <w:r w:rsidRPr="00A85E23">
              <w:rPr>
                <w:sz w:val="24"/>
                <w:szCs w:val="24"/>
                <w:lang w:val="cs-CZ"/>
              </w:rPr>
              <w:lastRenderedPageBreak/>
              <w:t>není omezen, a to ani soudním či správním rozhodnutím, ve smluvní volnosti nakládat s Nemovitost</w:t>
            </w:r>
            <w:r w:rsidR="00F975E5" w:rsidRPr="00A85E23">
              <w:rPr>
                <w:sz w:val="24"/>
                <w:szCs w:val="24"/>
                <w:lang w:val="cs-CZ"/>
              </w:rPr>
              <w:t>í</w:t>
            </w:r>
            <w:r w:rsidRPr="00A85E23">
              <w:rPr>
                <w:sz w:val="24"/>
                <w:szCs w:val="24"/>
                <w:lang w:val="cs-CZ"/>
              </w:rPr>
              <w:t>;</w:t>
            </w:r>
          </w:p>
        </w:tc>
      </w:tr>
      <w:tr w:rsidR="00861217" w:rsidRPr="0068350A" w14:paraId="1405A551" w14:textId="77777777" w:rsidTr="00613F0B">
        <w:tc>
          <w:tcPr>
            <w:tcW w:w="5000" w:type="pct"/>
          </w:tcPr>
          <w:p w14:paraId="30003BDF" w14:textId="3FB4112D" w:rsidR="00861217" w:rsidRPr="0075344B" w:rsidRDefault="00861217" w:rsidP="002C102F">
            <w:pPr>
              <w:pStyle w:val="NormalNumberedIndent"/>
              <w:suppressAutoHyphens/>
              <w:rPr>
                <w:sz w:val="24"/>
                <w:szCs w:val="24"/>
                <w:lang w:val="cs-CZ"/>
              </w:rPr>
            </w:pPr>
            <w:r w:rsidRPr="0075344B">
              <w:rPr>
                <w:sz w:val="24"/>
                <w:szCs w:val="24"/>
                <w:lang w:val="cs-CZ"/>
              </w:rPr>
              <w:t>Pokud by někdo vůči Kupujícímu uplatňoval jakoukoliv pohledávku či jiné právo vzniklé přede datem, k němuž je proveden vklad vlastnického práva k Nemovitost</w:t>
            </w:r>
            <w:r w:rsidR="00F975E5" w:rsidRPr="0075344B">
              <w:rPr>
                <w:sz w:val="24"/>
                <w:szCs w:val="24"/>
                <w:lang w:val="cs-CZ"/>
              </w:rPr>
              <w:t>i</w:t>
            </w:r>
            <w:r w:rsidRPr="0075344B">
              <w:rPr>
                <w:sz w:val="24"/>
                <w:szCs w:val="24"/>
                <w:lang w:val="cs-CZ"/>
              </w:rPr>
              <w:t>, spojené s vlastnictvím a užíváním Nemovitost</w:t>
            </w:r>
            <w:r w:rsidR="00F975E5" w:rsidRPr="0075344B">
              <w:rPr>
                <w:sz w:val="24"/>
                <w:szCs w:val="24"/>
                <w:lang w:val="cs-CZ"/>
              </w:rPr>
              <w:t>i</w:t>
            </w:r>
            <w:r w:rsidRPr="0075344B">
              <w:rPr>
                <w:sz w:val="24"/>
                <w:szCs w:val="24"/>
                <w:lang w:val="cs-CZ"/>
              </w:rPr>
              <w:t>, zavazuje se Prodávající, že pohledávku uhradí, resp. jiné právo uspokojí s</w:t>
            </w:r>
            <w:r w:rsidR="0075344B">
              <w:rPr>
                <w:sz w:val="24"/>
                <w:szCs w:val="24"/>
                <w:lang w:val="cs-CZ"/>
              </w:rPr>
              <w:t>á</w:t>
            </w:r>
            <w:r w:rsidRPr="0075344B">
              <w:rPr>
                <w:sz w:val="24"/>
                <w:szCs w:val="24"/>
                <w:lang w:val="cs-CZ"/>
              </w:rPr>
              <w:t>m.</w:t>
            </w:r>
          </w:p>
        </w:tc>
      </w:tr>
      <w:tr w:rsidR="00861217" w:rsidRPr="0068350A" w14:paraId="24607640" w14:textId="77777777" w:rsidTr="00613F0B">
        <w:tc>
          <w:tcPr>
            <w:tcW w:w="5000" w:type="pct"/>
          </w:tcPr>
          <w:p w14:paraId="37A3DCF5" w14:textId="7BA5FF13" w:rsidR="00861217" w:rsidRPr="0075344B" w:rsidRDefault="00861217" w:rsidP="002C102F">
            <w:pPr>
              <w:pStyle w:val="NormalNumberedIndent"/>
              <w:suppressAutoHyphens/>
              <w:rPr>
                <w:sz w:val="24"/>
                <w:szCs w:val="24"/>
                <w:lang w:val="cs-CZ"/>
              </w:rPr>
            </w:pPr>
            <w:r w:rsidRPr="0075344B">
              <w:rPr>
                <w:sz w:val="24"/>
                <w:szCs w:val="24"/>
                <w:lang w:val="cs-CZ"/>
              </w:rPr>
              <w:t>Kupující prohlašuje a ujišťuje Prodávajícího, že měl dostatek možností a dostatek času si Nemovitost před uzavřením této Smlouvy řádně prohlédnout, a to případně i za účasti příslušného specialisty, řádně se seznámil se stavem Nemovitost</w:t>
            </w:r>
            <w:r w:rsidR="00F975E5" w:rsidRPr="0075344B">
              <w:rPr>
                <w:sz w:val="24"/>
                <w:szCs w:val="24"/>
                <w:lang w:val="cs-CZ"/>
              </w:rPr>
              <w:t>i</w:t>
            </w:r>
            <w:r w:rsidRPr="0075344B">
              <w:rPr>
                <w:sz w:val="24"/>
                <w:szCs w:val="24"/>
                <w:lang w:val="cs-CZ"/>
              </w:rPr>
              <w:t xml:space="preserve"> a v tomto stavu Nemovitost kupuje, když proti je</w:t>
            </w:r>
            <w:r w:rsidR="00F975E5" w:rsidRPr="0075344B">
              <w:rPr>
                <w:sz w:val="24"/>
                <w:szCs w:val="24"/>
                <w:lang w:val="cs-CZ"/>
              </w:rPr>
              <w:t>jímu</w:t>
            </w:r>
            <w:r w:rsidRPr="0075344B">
              <w:rPr>
                <w:sz w:val="24"/>
                <w:szCs w:val="24"/>
                <w:lang w:val="cs-CZ"/>
              </w:rPr>
              <w:t xml:space="preserve"> stavu nemá žádné námitky či připomínky.</w:t>
            </w:r>
          </w:p>
        </w:tc>
      </w:tr>
      <w:tr w:rsidR="00861217" w:rsidRPr="002F0E8A" w14:paraId="16B5A418" w14:textId="77777777" w:rsidTr="00613F0B">
        <w:trPr>
          <w:trHeight w:val="510"/>
        </w:trPr>
        <w:tc>
          <w:tcPr>
            <w:tcW w:w="5000" w:type="pct"/>
          </w:tcPr>
          <w:p w14:paraId="23A54786" w14:textId="77777777" w:rsidR="00861217" w:rsidRPr="002F0E8A" w:rsidRDefault="00861217" w:rsidP="002C102F">
            <w:pPr>
              <w:pStyle w:val="Nadpis1"/>
              <w:keepNext w:val="0"/>
              <w:keepLines w:val="0"/>
              <w:suppressAutoHyphens/>
              <w:rPr>
                <w:szCs w:val="24"/>
                <w:lang w:val="cs-CZ"/>
              </w:rPr>
            </w:pPr>
            <w:r w:rsidRPr="002F0E8A">
              <w:rPr>
                <w:szCs w:val="24"/>
                <w:lang w:val="cs-CZ"/>
              </w:rPr>
              <w:t>Vklad vlastnického práva</w:t>
            </w:r>
          </w:p>
        </w:tc>
      </w:tr>
      <w:tr w:rsidR="00861217" w:rsidRPr="00C93C15" w14:paraId="250B1A92" w14:textId="77777777" w:rsidTr="00613F0B">
        <w:tc>
          <w:tcPr>
            <w:tcW w:w="5000" w:type="pct"/>
          </w:tcPr>
          <w:p w14:paraId="5164D9FA" w14:textId="2C39ECB6" w:rsidR="00861217" w:rsidRPr="00BD7E19" w:rsidRDefault="00861217" w:rsidP="002C102F">
            <w:pPr>
              <w:pStyle w:val="NormalNumberedIndent"/>
              <w:suppressAutoHyphens/>
              <w:rPr>
                <w:sz w:val="24"/>
                <w:szCs w:val="24"/>
                <w:lang w:val="cs-CZ"/>
              </w:rPr>
            </w:pPr>
            <w:r w:rsidRPr="00BD7E19">
              <w:rPr>
                <w:sz w:val="24"/>
                <w:szCs w:val="24"/>
                <w:lang w:val="cs-CZ"/>
              </w:rPr>
              <w:t>Zároveň s touto Smlouvou Smluvní strany podepisují návrh na vklad vlastnického práva k Nemovitost</w:t>
            </w:r>
            <w:r w:rsidR="00F975E5" w:rsidRPr="00BD7E19">
              <w:rPr>
                <w:sz w:val="24"/>
                <w:szCs w:val="24"/>
                <w:lang w:val="cs-CZ"/>
              </w:rPr>
              <w:t>i</w:t>
            </w:r>
            <w:r w:rsidRPr="00BD7E19">
              <w:rPr>
                <w:sz w:val="24"/>
                <w:szCs w:val="24"/>
                <w:lang w:val="cs-CZ"/>
              </w:rPr>
              <w:t xml:space="preserve"> ve prospěch Kupujícího </w:t>
            </w:r>
            <w:r w:rsidR="00D4381F">
              <w:rPr>
                <w:sz w:val="24"/>
                <w:szCs w:val="24"/>
                <w:lang w:val="cs-CZ"/>
              </w:rPr>
              <w:t xml:space="preserve">a návrh na vklad věcného práva dle čl. 8.1. (viz níže) </w:t>
            </w:r>
            <w:r w:rsidRPr="00BD7E19">
              <w:rPr>
                <w:sz w:val="24"/>
                <w:szCs w:val="24"/>
                <w:lang w:val="cs-CZ"/>
              </w:rPr>
              <w:t>(dále jen jako „</w:t>
            </w:r>
            <w:r w:rsidRPr="00BD7E19">
              <w:rPr>
                <w:b/>
                <w:sz w:val="24"/>
                <w:szCs w:val="24"/>
                <w:lang w:val="cs-CZ"/>
              </w:rPr>
              <w:t>Návrh na vklad</w:t>
            </w:r>
            <w:r w:rsidRPr="00BD7E19">
              <w:rPr>
                <w:sz w:val="24"/>
                <w:szCs w:val="24"/>
                <w:lang w:val="cs-CZ"/>
              </w:rPr>
              <w:t xml:space="preserve">“). Návrh na vklad podá </w:t>
            </w:r>
            <w:r w:rsidR="00613F0B" w:rsidRPr="00BD7E19">
              <w:rPr>
                <w:sz w:val="24"/>
                <w:szCs w:val="24"/>
                <w:lang w:val="cs-CZ"/>
              </w:rPr>
              <w:t xml:space="preserve">Prodávající </w:t>
            </w:r>
            <w:r w:rsidRPr="00BD7E19">
              <w:rPr>
                <w:sz w:val="24"/>
                <w:szCs w:val="24"/>
                <w:lang w:val="cs-CZ"/>
              </w:rPr>
              <w:t xml:space="preserve">příslušnému katastrálnímu úřadu do pěti (5) pracovních dnů ode </w:t>
            </w:r>
            <w:r w:rsidR="005655F6">
              <w:rPr>
                <w:sz w:val="24"/>
                <w:szCs w:val="24"/>
                <w:lang w:val="cs-CZ"/>
              </w:rPr>
              <w:t xml:space="preserve">připsání části kupní ceny dle čl. 3.2 </w:t>
            </w:r>
            <w:r w:rsidR="00613F0B" w:rsidRPr="00BD7E19">
              <w:rPr>
                <w:sz w:val="24"/>
                <w:szCs w:val="24"/>
                <w:lang w:val="cs-CZ"/>
              </w:rPr>
              <w:t>této Smlouvy</w:t>
            </w:r>
            <w:r w:rsidRPr="00BD7E19">
              <w:rPr>
                <w:sz w:val="24"/>
                <w:szCs w:val="24"/>
                <w:lang w:val="cs-CZ"/>
              </w:rPr>
              <w:t>.</w:t>
            </w:r>
          </w:p>
        </w:tc>
      </w:tr>
      <w:tr w:rsidR="00861217" w:rsidRPr="00C93C15" w14:paraId="4BC4ABBF" w14:textId="77777777" w:rsidTr="00613F0B">
        <w:tc>
          <w:tcPr>
            <w:tcW w:w="5000" w:type="pct"/>
          </w:tcPr>
          <w:p w14:paraId="36072935" w14:textId="0FA90865" w:rsidR="00861217" w:rsidRPr="00BD7E19" w:rsidRDefault="00861217" w:rsidP="002C102F">
            <w:pPr>
              <w:pStyle w:val="NormalNumberedIndent"/>
              <w:suppressAutoHyphens/>
              <w:rPr>
                <w:sz w:val="24"/>
                <w:szCs w:val="24"/>
                <w:lang w:val="cs-CZ"/>
              </w:rPr>
            </w:pPr>
            <w:r w:rsidRPr="00BD7E19">
              <w:rPr>
                <w:sz w:val="24"/>
                <w:szCs w:val="24"/>
                <w:lang w:val="cs-CZ"/>
              </w:rPr>
              <w:t>Vlastnické právo k Nemovitost</w:t>
            </w:r>
            <w:r w:rsidR="00F975E5" w:rsidRPr="00BD7E19">
              <w:rPr>
                <w:sz w:val="24"/>
                <w:szCs w:val="24"/>
                <w:lang w:val="cs-CZ"/>
              </w:rPr>
              <w:t>i</w:t>
            </w:r>
            <w:r w:rsidRPr="00BD7E19">
              <w:rPr>
                <w:sz w:val="24"/>
                <w:szCs w:val="24"/>
                <w:lang w:val="cs-CZ"/>
              </w:rPr>
              <w:t xml:space="preserve"> spolu s veškerými souvisejícími právy a povinnostmi přechází na Kupujícího na základě provedení vkladu vlastnického práva ve prospěch Kupujícího do katastru nemovitostí, a to zpětně ke dni, kdy byl u příslušného katastrálního úřadu podán Návrh na vklad.</w:t>
            </w:r>
          </w:p>
        </w:tc>
      </w:tr>
      <w:tr w:rsidR="00861217" w:rsidRPr="00C93C15" w14:paraId="67388A0F" w14:textId="77777777" w:rsidTr="00613F0B">
        <w:tc>
          <w:tcPr>
            <w:tcW w:w="5000" w:type="pct"/>
          </w:tcPr>
          <w:p w14:paraId="52FDA1E4" w14:textId="1FA51945" w:rsidR="00861217" w:rsidRPr="00BD7E19" w:rsidRDefault="00861217" w:rsidP="002C102F">
            <w:pPr>
              <w:pStyle w:val="NormalNumberedIndent"/>
              <w:suppressAutoHyphens/>
              <w:rPr>
                <w:sz w:val="24"/>
                <w:szCs w:val="24"/>
                <w:lang w:val="cs-CZ"/>
              </w:rPr>
            </w:pPr>
            <w:r w:rsidRPr="00BD7E19">
              <w:rPr>
                <w:sz w:val="24"/>
                <w:szCs w:val="24"/>
                <w:lang w:val="cs-CZ"/>
              </w:rPr>
              <w:t>Smluvní strany se zavazují poskytnout si vzájemně součinnost, aby katastrální úřad mohl řádně rozhodnout o povolení vkladu vlastnického práva ve prospěch Kupujícího k Nemovitost</w:t>
            </w:r>
            <w:r w:rsidR="00F975E5" w:rsidRPr="00BD7E19">
              <w:rPr>
                <w:sz w:val="24"/>
                <w:szCs w:val="24"/>
                <w:lang w:val="cs-CZ"/>
              </w:rPr>
              <w:t>i</w:t>
            </w:r>
            <w:r w:rsidRPr="00BD7E19">
              <w:rPr>
                <w:sz w:val="24"/>
                <w:szCs w:val="24"/>
                <w:lang w:val="cs-CZ"/>
              </w:rPr>
              <w:t xml:space="preserve">, a to v co nejkratším termínu. </w:t>
            </w:r>
          </w:p>
        </w:tc>
      </w:tr>
      <w:tr w:rsidR="00861217" w:rsidRPr="00C93C15" w14:paraId="6D50EEE3" w14:textId="77777777" w:rsidTr="00613F0B">
        <w:tc>
          <w:tcPr>
            <w:tcW w:w="5000" w:type="pct"/>
          </w:tcPr>
          <w:p w14:paraId="7F15404E" w14:textId="77777777" w:rsidR="00861217" w:rsidRPr="00D32D3C" w:rsidRDefault="00861217" w:rsidP="002C102F">
            <w:pPr>
              <w:pStyle w:val="NormalNumberedIndent"/>
              <w:suppressAutoHyphens/>
              <w:rPr>
                <w:sz w:val="24"/>
                <w:szCs w:val="24"/>
                <w:lang w:val="cs-CZ"/>
              </w:rPr>
            </w:pPr>
            <w:r w:rsidRPr="00D32D3C">
              <w:rPr>
                <w:sz w:val="24"/>
                <w:szCs w:val="24"/>
                <w:lang w:val="cs-CZ"/>
              </w:rPr>
              <w:t>Jestliže katastrální úřad příslušný pro vklad práva podle této Smlouvy rozhodne, že příslušný Návrh na vklad anebo tato Smlouva nejsou dostatečným podkladem pro takový zápis, pak se Smluvní strany zavazují, že ihned zahájí veškerá potřebná opatření a provedou potřebné právní úkony směřující k odstranění nedostatků v Návrhu na vklad nebo v této Smlouvě tak, aby vklad podle této Smlouvy byl proveden co nejdříve.</w:t>
            </w:r>
          </w:p>
        </w:tc>
      </w:tr>
      <w:tr w:rsidR="00861217" w:rsidRPr="00C93C15" w14:paraId="1AE31194" w14:textId="77777777" w:rsidTr="00613F0B">
        <w:tc>
          <w:tcPr>
            <w:tcW w:w="5000" w:type="pct"/>
          </w:tcPr>
          <w:p w14:paraId="54E972B9" w14:textId="4AB16881" w:rsidR="00861217" w:rsidRPr="00D06760" w:rsidRDefault="00861217" w:rsidP="002C102F">
            <w:pPr>
              <w:pStyle w:val="NormalNumberedIndent"/>
              <w:suppressAutoHyphens/>
              <w:rPr>
                <w:sz w:val="24"/>
                <w:szCs w:val="24"/>
                <w:lang w:val="cs-CZ"/>
              </w:rPr>
            </w:pPr>
            <w:r w:rsidRPr="00D06760">
              <w:rPr>
                <w:sz w:val="24"/>
                <w:szCs w:val="24"/>
                <w:lang w:val="cs-CZ"/>
              </w:rPr>
              <w:t xml:space="preserve">Správní poplatek za zahájení vkladového řízení hradí </w:t>
            </w:r>
            <w:r w:rsidR="00416961" w:rsidRPr="00D06760">
              <w:rPr>
                <w:sz w:val="24"/>
                <w:szCs w:val="24"/>
                <w:lang w:val="cs-CZ"/>
              </w:rPr>
              <w:t>Kupující</w:t>
            </w:r>
            <w:r w:rsidRPr="00D06760">
              <w:rPr>
                <w:sz w:val="24"/>
                <w:szCs w:val="24"/>
                <w:lang w:val="cs-CZ"/>
              </w:rPr>
              <w:t>.</w:t>
            </w:r>
          </w:p>
        </w:tc>
      </w:tr>
      <w:tr w:rsidR="00861217" w:rsidRPr="002F0E8A" w14:paraId="16306D57" w14:textId="77777777" w:rsidTr="00613F0B">
        <w:tc>
          <w:tcPr>
            <w:tcW w:w="5000" w:type="pct"/>
          </w:tcPr>
          <w:p w14:paraId="14262399" w14:textId="430332CB" w:rsidR="00861217" w:rsidRPr="002F0E8A" w:rsidRDefault="00861217" w:rsidP="002C102F">
            <w:pPr>
              <w:pStyle w:val="Nadpis1"/>
              <w:keepNext w:val="0"/>
              <w:keepLines w:val="0"/>
              <w:suppressAutoHyphens/>
              <w:rPr>
                <w:szCs w:val="24"/>
                <w:lang w:val="cs-CZ"/>
              </w:rPr>
            </w:pPr>
            <w:r w:rsidRPr="002F0E8A">
              <w:rPr>
                <w:szCs w:val="24"/>
                <w:lang w:val="cs-CZ"/>
              </w:rPr>
              <w:lastRenderedPageBreak/>
              <w:t>Předání Nemovitost</w:t>
            </w:r>
            <w:r w:rsidR="00F975E5" w:rsidRPr="002F0E8A">
              <w:rPr>
                <w:szCs w:val="24"/>
                <w:lang w:val="cs-CZ"/>
              </w:rPr>
              <w:t>i</w:t>
            </w:r>
          </w:p>
        </w:tc>
      </w:tr>
      <w:tr w:rsidR="00861217" w:rsidRPr="002F0E8A" w14:paraId="471B3C99" w14:textId="77777777" w:rsidTr="00613F0B">
        <w:tc>
          <w:tcPr>
            <w:tcW w:w="5000" w:type="pct"/>
          </w:tcPr>
          <w:p w14:paraId="5ADF6464" w14:textId="5A1941E2" w:rsidR="00861217" w:rsidRPr="003C0C27" w:rsidRDefault="00861217" w:rsidP="002C102F">
            <w:pPr>
              <w:pStyle w:val="NormalNumberedIndent"/>
              <w:suppressAutoHyphens/>
              <w:rPr>
                <w:sz w:val="24"/>
                <w:szCs w:val="24"/>
                <w:lang w:val="cs-CZ"/>
              </w:rPr>
            </w:pPr>
            <w:r w:rsidRPr="003C0C27">
              <w:rPr>
                <w:sz w:val="24"/>
                <w:szCs w:val="24"/>
                <w:lang w:val="cs-CZ"/>
              </w:rPr>
              <w:t xml:space="preserve">Prodávající se zavazuje předat Nemovitost Kupujícímu a Kupující se zavazuje je převzít nejpozději do deseti (10) dnů ode dne </w:t>
            </w:r>
            <w:r w:rsidR="005655F6">
              <w:rPr>
                <w:sz w:val="24"/>
                <w:szCs w:val="24"/>
                <w:lang w:val="cs-CZ"/>
              </w:rPr>
              <w:t>zápisu vlastnického práva do katastru nemovitostí</w:t>
            </w:r>
            <w:r w:rsidRPr="003C0C27">
              <w:rPr>
                <w:sz w:val="24"/>
                <w:szCs w:val="24"/>
                <w:lang w:val="cs-CZ"/>
              </w:rPr>
              <w:t>.</w:t>
            </w:r>
          </w:p>
        </w:tc>
      </w:tr>
      <w:tr w:rsidR="00861217" w:rsidRPr="005655F6" w14:paraId="7D0928BC" w14:textId="77777777" w:rsidTr="00613F0B">
        <w:tc>
          <w:tcPr>
            <w:tcW w:w="5000" w:type="pct"/>
          </w:tcPr>
          <w:p w14:paraId="7AF0A57A" w14:textId="017C26FD" w:rsidR="00861217" w:rsidRPr="003C0C27" w:rsidRDefault="005655F6" w:rsidP="002C102F">
            <w:pPr>
              <w:pStyle w:val="NormalNumberedIndent"/>
              <w:suppressAutoHyphens/>
              <w:rPr>
                <w:sz w:val="24"/>
                <w:szCs w:val="24"/>
                <w:lang w:val="cs-CZ"/>
              </w:rPr>
            </w:pPr>
            <w:r>
              <w:rPr>
                <w:sz w:val="24"/>
                <w:szCs w:val="24"/>
                <w:lang w:val="cs-CZ"/>
              </w:rPr>
              <w:t>neobsazeno</w:t>
            </w:r>
          </w:p>
        </w:tc>
      </w:tr>
      <w:tr w:rsidR="00861217" w:rsidRPr="005655F6" w14:paraId="5CEADD85" w14:textId="77777777" w:rsidTr="00613F0B">
        <w:tc>
          <w:tcPr>
            <w:tcW w:w="5000" w:type="pct"/>
          </w:tcPr>
          <w:p w14:paraId="636CB865" w14:textId="557A3344" w:rsidR="00861217" w:rsidRPr="006D69DE" w:rsidRDefault="00861217" w:rsidP="002C102F">
            <w:pPr>
              <w:pStyle w:val="NormalNumberedIndent"/>
              <w:suppressAutoHyphens/>
              <w:rPr>
                <w:sz w:val="24"/>
                <w:szCs w:val="24"/>
                <w:lang w:val="cs-CZ"/>
              </w:rPr>
            </w:pPr>
            <w:r w:rsidRPr="006D69DE">
              <w:rPr>
                <w:sz w:val="24"/>
                <w:szCs w:val="24"/>
                <w:lang w:val="cs-CZ"/>
              </w:rPr>
              <w:t>Okamžikem provedení vkladu do katastru nemovitostí</w:t>
            </w:r>
            <w:r w:rsidRPr="006D69DE" w:rsidDel="0079332F">
              <w:rPr>
                <w:sz w:val="24"/>
                <w:szCs w:val="24"/>
                <w:lang w:val="cs-CZ"/>
              </w:rPr>
              <w:t xml:space="preserve"> </w:t>
            </w:r>
            <w:r w:rsidRPr="006D69DE">
              <w:rPr>
                <w:sz w:val="24"/>
                <w:szCs w:val="24"/>
                <w:lang w:val="cs-CZ"/>
              </w:rPr>
              <w:t>přechází na Kupujícího nebezpečí škody na věci, nahodilé zkázy a nahodilého zhoršení stavu Nemovitost</w:t>
            </w:r>
            <w:r w:rsidR="00F975E5" w:rsidRPr="006D69DE">
              <w:rPr>
                <w:sz w:val="24"/>
                <w:szCs w:val="24"/>
                <w:lang w:val="cs-CZ"/>
              </w:rPr>
              <w:t>i</w:t>
            </w:r>
            <w:r w:rsidRPr="006D69DE">
              <w:rPr>
                <w:sz w:val="24"/>
                <w:szCs w:val="24"/>
                <w:lang w:val="cs-CZ"/>
              </w:rPr>
              <w:t>.</w:t>
            </w:r>
          </w:p>
        </w:tc>
      </w:tr>
      <w:tr w:rsidR="00861217" w:rsidRPr="002F0E8A" w14:paraId="07D25C11" w14:textId="77777777" w:rsidTr="00613F0B">
        <w:tc>
          <w:tcPr>
            <w:tcW w:w="5000" w:type="pct"/>
          </w:tcPr>
          <w:p w14:paraId="4335F3AF" w14:textId="77777777" w:rsidR="00861217" w:rsidRPr="002F0E8A" w:rsidRDefault="00861217" w:rsidP="002C102F">
            <w:pPr>
              <w:pStyle w:val="Nadpis1"/>
              <w:keepNext w:val="0"/>
              <w:keepLines w:val="0"/>
              <w:suppressAutoHyphens/>
              <w:rPr>
                <w:szCs w:val="24"/>
                <w:lang w:val="cs-CZ"/>
              </w:rPr>
            </w:pPr>
            <w:r w:rsidRPr="002F0E8A">
              <w:rPr>
                <w:szCs w:val="24"/>
                <w:lang w:val="cs-CZ"/>
              </w:rPr>
              <w:t>Odstoupení od Smlouvy</w:t>
            </w:r>
          </w:p>
        </w:tc>
      </w:tr>
      <w:tr w:rsidR="00861217" w:rsidRPr="002F0E8A" w14:paraId="47E0E5B2" w14:textId="77777777" w:rsidTr="00613F0B">
        <w:tc>
          <w:tcPr>
            <w:tcW w:w="5000" w:type="pct"/>
          </w:tcPr>
          <w:p w14:paraId="2C22A356" w14:textId="77777777" w:rsidR="00861217" w:rsidRPr="006D69DE" w:rsidRDefault="00861217" w:rsidP="002C102F">
            <w:pPr>
              <w:pStyle w:val="NormalNumberedIndent"/>
              <w:suppressAutoHyphens/>
              <w:rPr>
                <w:sz w:val="24"/>
                <w:szCs w:val="24"/>
                <w:lang w:val="cs-CZ"/>
              </w:rPr>
            </w:pPr>
            <w:r w:rsidRPr="006D69DE">
              <w:rPr>
                <w:sz w:val="24"/>
                <w:szCs w:val="24"/>
                <w:lang w:val="cs-CZ"/>
              </w:rPr>
              <w:t>Kupující je oprávněn od této Smlouvy odstoupit v případě, že se jakékoliv z prohlášení Prodávajícího obsažené v této Smlouvě ukáže nepravdivým či klamavým a Prodávající nezjedná nápravu ani do čtrnácti (14) dnů od doručení písemné výzvy Kupujícího.</w:t>
            </w:r>
          </w:p>
        </w:tc>
      </w:tr>
      <w:tr w:rsidR="00861217" w:rsidRPr="00C93C15" w14:paraId="2983475B" w14:textId="77777777" w:rsidTr="00613F0B">
        <w:tc>
          <w:tcPr>
            <w:tcW w:w="5000" w:type="pct"/>
          </w:tcPr>
          <w:p w14:paraId="19D8B422" w14:textId="26CACA9C" w:rsidR="00861217" w:rsidRPr="006D69DE" w:rsidRDefault="00861217" w:rsidP="002C102F">
            <w:pPr>
              <w:pStyle w:val="NormalNumberedIndent"/>
              <w:suppressAutoHyphens/>
              <w:rPr>
                <w:sz w:val="24"/>
                <w:szCs w:val="24"/>
                <w:lang w:val="cs-CZ"/>
              </w:rPr>
            </w:pPr>
            <w:r w:rsidRPr="006D69DE">
              <w:rPr>
                <w:sz w:val="24"/>
                <w:szCs w:val="24"/>
                <w:lang w:val="cs-CZ"/>
              </w:rPr>
              <w:t>Pro případ, že Kupující neuhradí druhou část Kupní ceny v termínu dle této Smlouvy, zavazuje se Kupující uhradit Prodávajícímu smluvní pokutu ve výši 5.000,- Kč (slovy: pět tisíc korun českých) za každý den prodlení, a to do sedmi (7) dnů od doručení písemné výzvy Prodávajícího k uhrazení smluvní pokuty. V případě prodlení Kupujícího se splněním této jeho povinnosti delší než čtrnáct (14) dnů je Prodávající oprávněn od této Smlouvy odstoupit.</w:t>
            </w:r>
            <w:r w:rsidR="00F975E5" w:rsidRPr="006D69DE">
              <w:rPr>
                <w:sz w:val="24"/>
                <w:szCs w:val="24"/>
                <w:lang w:val="cs-CZ"/>
              </w:rPr>
              <w:t xml:space="preserve"> V takovém případě je Prodávající povinen vrátit Kupujícímu </w:t>
            </w:r>
            <w:r w:rsidR="005445DF">
              <w:rPr>
                <w:sz w:val="24"/>
                <w:szCs w:val="24"/>
                <w:lang w:val="cs-CZ"/>
              </w:rPr>
              <w:t xml:space="preserve">uhrazenou </w:t>
            </w:r>
            <w:r w:rsidR="00F975E5" w:rsidRPr="006D69DE">
              <w:rPr>
                <w:sz w:val="24"/>
                <w:szCs w:val="24"/>
                <w:lang w:val="cs-CZ"/>
              </w:rPr>
              <w:t>kupní cen</w:t>
            </w:r>
            <w:r w:rsidR="005445DF">
              <w:rPr>
                <w:sz w:val="24"/>
                <w:szCs w:val="24"/>
                <w:lang w:val="cs-CZ"/>
              </w:rPr>
              <w:t>u</w:t>
            </w:r>
            <w:r w:rsidR="00F975E5" w:rsidRPr="006D69DE">
              <w:rPr>
                <w:sz w:val="24"/>
                <w:szCs w:val="24"/>
                <w:lang w:val="cs-CZ"/>
              </w:rPr>
              <w:t xml:space="preserve">, nikoli však dříve než bude </w:t>
            </w:r>
            <w:r w:rsidR="005445DF">
              <w:rPr>
                <w:sz w:val="24"/>
                <w:szCs w:val="24"/>
                <w:lang w:val="cs-CZ"/>
              </w:rPr>
              <w:t xml:space="preserve">Prodávající </w:t>
            </w:r>
            <w:r w:rsidR="00F975E5" w:rsidRPr="006D69DE">
              <w:rPr>
                <w:sz w:val="24"/>
                <w:szCs w:val="24"/>
                <w:lang w:val="cs-CZ"/>
              </w:rPr>
              <w:t>zapsán zpět v katastru nemovitostí jako vlastník Nemovitosti.</w:t>
            </w:r>
          </w:p>
        </w:tc>
      </w:tr>
      <w:tr w:rsidR="00861217" w:rsidRPr="00C93C15" w14:paraId="5DAE7FFE" w14:textId="77777777" w:rsidTr="00613F0B">
        <w:tc>
          <w:tcPr>
            <w:tcW w:w="5000" w:type="pct"/>
          </w:tcPr>
          <w:p w14:paraId="0F2D5221" w14:textId="0D5333B1" w:rsidR="00613F0B" w:rsidRDefault="00F975E5" w:rsidP="002C102F">
            <w:pPr>
              <w:pStyle w:val="NormalNumberedIndent"/>
              <w:suppressAutoHyphens/>
              <w:rPr>
                <w:sz w:val="24"/>
                <w:szCs w:val="24"/>
                <w:lang w:val="cs-CZ"/>
              </w:rPr>
            </w:pPr>
            <w:r w:rsidRPr="006D69DE">
              <w:rPr>
                <w:sz w:val="24"/>
                <w:szCs w:val="24"/>
                <w:lang w:val="cs-CZ"/>
              </w:rPr>
              <w:t xml:space="preserve">Pro případ, že Kupující neprokáže Prodávajícímu nejpozději do tří (3) let od podpisu této Smlouvy, že na Nemovitosti </w:t>
            </w:r>
            <w:r w:rsidR="0019646D">
              <w:rPr>
                <w:sz w:val="24"/>
                <w:szCs w:val="24"/>
                <w:lang w:val="cs-CZ"/>
              </w:rPr>
              <w:t xml:space="preserve">zrealizoval </w:t>
            </w:r>
            <w:r w:rsidRPr="006D69DE">
              <w:rPr>
                <w:sz w:val="24"/>
                <w:szCs w:val="24"/>
                <w:lang w:val="cs-CZ"/>
              </w:rPr>
              <w:t>na základě platných povolení stavbu minimálně v rozsahu tzv. základové desky</w:t>
            </w:r>
            <w:r w:rsidR="00A806EC">
              <w:rPr>
                <w:sz w:val="24"/>
                <w:szCs w:val="24"/>
                <w:lang w:val="cs-CZ"/>
              </w:rPr>
              <w:t xml:space="preserve"> </w:t>
            </w:r>
            <w:r w:rsidR="00A806EC" w:rsidRPr="00A806EC">
              <w:rPr>
                <w:i/>
                <w:iCs/>
                <w:sz w:val="24"/>
                <w:szCs w:val="24"/>
                <w:lang w:val="cs-CZ"/>
              </w:rPr>
              <w:t>(tj. vyhloubení základové spáry, uložení sítí a příprava zemnícího pásku, zhotovení vodorovné betonové desky včetně armatury</w:t>
            </w:r>
            <w:r w:rsidR="00A806EC">
              <w:rPr>
                <w:i/>
                <w:iCs/>
                <w:sz w:val="24"/>
                <w:szCs w:val="24"/>
                <w:lang w:val="cs-CZ"/>
              </w:rPr>
              <w:t>)</w:t>
            </w:r>
            <w:r w:rsidR="00A806EC" w:rsidRPr="00A806EC">
              <w:rPr>
                <w:sz w:val="24"/>
                <w:szCs w:val="24"/>
                <w:lang w:val="cs-CZ"/>
              </w:rPr>
              <w:t xml:space="preserve"> </w:t>
            </w:r>
            <w:r w:rsidRPr="006D69DE">
              <w:rPr>
                <w:sz w:val="24"/>
                <w:szCs w:val="24"/>
                <w:lang w:val="cs-CZ"/>
              </w:rPr>
              <w:t xml:space="preserve"> pro stavbu rodinného domu nebo jiné stavby určené pro trvalé bydlení podle pro dané místo platného územního plánu, je Prodávající oprávněn od této Smlouvy odstoupit. Pro případ odstoupení jsou smluvní strany povinny v</w:t>
            </w:r>
            <w:r w:rsidR="00166C63" w:rsidRPr="006D69DE">
              <w:rPr>
                <w:sz w:val="24"/>
                <w:szCs w:val="24"/>
                <w:lang w:val="cs-CZ"/>
              </w:rPr>
              <w:t xml:space="preserve">ydat si </w:t>
            </w:r>
            <w:r w:rsidRPr="006D69DE">
              <w:rPr>
                <w:sz w:val="24"/>
                <w:szCs w:val="24"/>
                <w:lang w:val="cs-CZ"/>
              </w:rPr>
              <w:t xml:space="preserve">navzájem </w:t>
            </w:r>
            <w:r w:rsidR="00166C63" w:rsidRPr="006D69DE">
              <w:rPr>
                <w:sz w:val="24"/>
                <w:szCs w:val="24"/>
                <w:lang w:val="cs-CZ"/>
              </w:rPr>
              <w:t xml:space="preserve">zpět </w:t>
            </w:r>
            <w:r w:rsidRPr="006D69DE">
              <w:rPr>
                <w:sz w:val="24"/>
                <w:szCs w:val="24"/>
                <w:lang w:val="cs-CZ"/>
              </w:rPr>
              <w:t xml:space="preserve">veškerá doposud realizovaná plnění. Kupující je povinen </w:t>
            </w:r>
            <w:r w:rsidR="00166C63" w:rsidRPr="006D69DE">
              <w:rPr>
                <w:sz w:val="24"/>
                <w:szCs w:val="24"/>
                <w:lang w:val="cs-CZ"/>
              </w:rPr>
              <w:t xml:space="preserve">poskytnout Prodávajícímu součinnost při vkladu vlastnického práva k Nemovitosti ve prospěch Prodávajícího. Ohledně stavu Nemovitosti se smluvní strany vyrovnají způsobem odpovídajícím stavu Nemovitosti </w:t>
            </w:r>
            <w:r w:rsidR="006D69DE">
              <w:rPr>
                <w:sz w:val="24"/>
                <w:szCs w:val="24"/>
                <w:lang w:val="cs-CZ"/>
              </w:rPr>
              <w:t>k</w:t>
            </w:r>
            <w:r w:rsidR="00166C63" w:rsidRPr="006D69DE">
              <w:rPr>
                <w:sz w:val="24"/>
                <w:szCs w:val="24"/>
                <w:lang w:val="cs-CZ"/>
              </w:rPr>
              <w:t>e dni odstoupení od této Smlouvy.</w:t>
            </w:r>
            <w:r w:rsidR="00D4381F">
              <w:rPr>
                <w:sz w:val="24"/>
                <w:szCs w:val="24"/>
                <w:lang w:val="cs-CZ"/>
              </w:rPr>
              <w:t xml:space="preserve"> V případě, že bude pozemek dotčen stavební změnou či jiným zhodnocením, bude toto vyrovnání vycházet ze znaleckého posudku.</w:t>
            </w:r>
          </w:p>
          <w:p w14:paraId="10E42CA5" w14:textId="35BDF60C" w:rsidR="003F16A2" w:rsidRPr="003F16A2" w:rsidRDefault="003F16A2" w:rsidP="003F16A2">
            <w:pPr>
              <w:pStyle w:val="NormalNumberedIndent"/>
              <w:suppressAutoHyphens/>
              <w:rPr>
                <w:sz w:val="24"/>
                <w:szCs w:val="24"/>
                <w:lang w:val="cs-CZ"/>
              </w:rPr>
            </w:pPr>
            <w:r>
              <w:rPr>
                <w:sz w:val="24"/>
                <w:szCs w:val="24"/>
                <w:lang w:val="cs-CZ"/>
              </w:rPr>
              <w:lastRenderedPageBreak/>
              <w:t>Kupující bere na vědomí, že rozvazovací podmínka uvedená v čl. 7.3 platí i pro případ přechodu vlastnického práva</w:t>
            </w:r>
            <w:r w:rsidR="00F27419">
              <w:rPr>
                <w:sz w:val="24"/>
                <w:szCs w:val="24"/>
                <w:lang w:val="cs-CZ"/>
              </w:rPr>
              <w:t xml:space="preserve"> na nového vlastníka.</w:t>
            </w:r>
          </w:p>
          <w:p w14:paraId="2C554115" w14:textId="7112998E" w:rsidR="00861217" w:rsidRPr="006D69DE" w:rsidRDefault="00861217" w:rsidP="003F16A2">
            <w:pPr>
              <w:pStyle w:val="NormalNumberedIndent"/>
              <w:suppressAutoHyphens/>
              <w:rPr>
                <w:sz w:val="24"/>
                <w:szCs w:val="24"/>
                <w:lang w:val="cs-CZ"/>
              </w:rPr>
            </w:pPr>
          </w:p>
        </w:tc>
      </w:tr>
      <w:tr w:rsidR="00861217" w:rsidRPr="002F0E8A" w14:paraId="3274D0A4" w14:textId="77777777" w:rsidTr="00613F0B">
        <w:tc>
          <w:tcPr>
            <w:tcW w:w="5000" w:type="pct"/>
          </w:tcPr>
          <w:p w14:paraId="7B643E44" w14:textId="0CB99715" w:rsidR="00166C63" w:rsidRPr="002F0E8A" w:rsidRDefault="00861217" w:rsidP="002C102F">
            <w:pPr>
              <w:pStyle w:val="Nadpis1"/>
              <w:keepNext w:val="0"/>
              <w:keepLines w:val="0"/>
              <w:suppressAutoHyphens/>
              <w:rPr>
                <w:szCs w:val="24"/>
                <w:lang w:val="cs-CZ"/>
              </w:rPr>
            </w:pPr>
            <w:r w:rsidRPr="002F0E8A">
              <w:rPr>
                <w:szCs w:val="24"/>
                <w:lang w:val="cs-CZ"/>
              </w:rPr>
              <w:lastRenderedPageBreak/>
              <w:t>Z</w:t>
            </w:r>
            <w:r w:rsidR="00166C63" w:rsidRPr="002F0E8A">
              <w:rPr>
                <w:szCs w:val="24"/>
                <w:lang w:val="cs-CZ"/>
              </w:rPr>
              <w:t>řízení předkupního práva</w:t>
            </w:r>
          </w:p>
          <w:p w14:paraId="75DF1A1B" w14:textId="2C5C876A" w:rsidR="00166C63" w:rsidRPr="002F0E8A" w:rsidRDefault="00166C63" w:rsidP="00166C63">
            <w:pPr>
              <w:pStyle w:val="NormalNumberedIndent"/>
              <w:suppressAutoHyphens/>
              <w:rPr>
                <w:sz w:val="24"/>
                <w:szCs w:val="24"/>
                <w:lang w:val="cs-CZ"/>
              </w:rPr>
            </w:pPr>
            <w:r w:rsidRPr="002F0E8A">
              <w:rPr>
                <w:sz w:val="24"/>
                <w:szCs w:val="24"/>
                <w:lang w:val="cs-CZ"/>
              </w:rPr>
              <w:t>Smluvní strany sjednávají předkupní právo k Nemovitosti v rozsahu věcného práva zapisovaného do Katastru nemovitostí, a to ve prospěch Prodávajícího.</w:t>
            </w:r>
          </w:p>
          <w:p w14:paraId="1439A4B9" w14:textId="338574D9" w:rsidR="00166C63" w:rsidRPr="002F0E8A" w:rsidRDefault="00166C63" w:rsidP="00166C63">
            <w:pPr>
              <w:pStyle w:val="NormalNumberedIndent"/>
              <w:suppressAutoHyphens/>
              <w:rPr>
                <w:sz w:val="24"/>
                <w:szCs w:val="24"/>
                <w:lang w:val="cs-CZ"/>
              </w:rPr>
            </w:pPr>
            <w:r w:rsidRPr="002F0E8A">
              <w:rPr>
                <w:sz w:val="24"/>
                <w:szCs w:val="24"/>
                <w:lang w:val="cs-CZ"/>
              </w:rPr>
              <w:t xml:space="preserve">V případě, že Kupující bude chtíti Nemovitost </w:t>
            </w:r>
            <w:r w:rsidR="006B7335">
              <w:rPr>
                <w:sz w:val="24"/>
                <w:szCs w:val="24"/>
                <w:lang w:val="cs-CZ"/>
              </w:rPr>
              <w:t>zcizit</w:t>
            </w:r>
            <w:r w:rsidRPr="002F0E8A">
              <w:rPr>
                <w:sz w:val="24"/>
                <w:szCs w:val="24"/>
                <w:lang w:val="cs-CZ"/>
              </w:rPr>
              <w:t xml:space="preserve">, má povinnost tuto </w:t>
            </w:r>
            <w:r w:rsidR="006D69DE">
              <w:rPr>
                <w:sz w:val="24"/>
                <w:szCs w:val="24"/>
                <w:lang w:val="cs-CZ"/>
              </w:rPr>
              <w:t xml:space="preserve">nejprve </w:t>
            </w:r>
            <w:r w:rsidRPr="002F0E8A">
              <w:rPr>
                <w:sz w:val="24"/>
                <w:szCs w:val="24"/>
                <w:lang w:val="cs-CZ"/>
              </w:rPr>
              <w:t xml:space="preserve">nabídnout Prodávajícímu, a to za kupní cenu odpovídající druhé části Kupní ceny dle čl. </w:t>
            </w:r>
            <w:r w:rsidR="00416961" w:rsidRPr="002F0E8A">
              <w:rPr>
                <w:sz w:val="24"/>
                <w:szCs w:val="24"/>
                <w:lang w:val="cs-CZ"/>
              </w:rPr>
              <w:t>3.2 této Smlouvy.</w:t>
            </w:r>
            <w:r w:rsidR="00216EA2">
              <w:rPr>
                <w:sz w:val="24"/>
                <w:szCs w:val="24"/>
                <w:lang w:val="cs-CZ"/>
              </w:rPr>
              <w:t xml:space="preserve"> </w:t>
            </w:r>
            <w:r w:rsidR="00416961" w:rsidRPr="002F0E8A">
              <w:rPr>
                <w:sz w:val="24"/>
                <w:szCs w:val="24"/>
                <w:lang w:val="cs-CZ"/>
              </w:rPr>
              <w:t>Pokud se Prodávající nevysloví do 30 dnů ode dne písemného sdělení Kupujícího dle předchozí věty, má se za to, že předkupní právo nevyužije. Stejné účinky má i jeho výslovné sdělení, že předkupní právo nevyužije.</w:t>
            </w:r>
          </w:p>
          <w:p w14:paraId="05264A7E" w14:textId="3F0C4A43" w:rsidR="00416961" w:rsidRPr="002F0E8A" w:rsidRDefault="00416961" w:rsidP="00416961">
            <w:pPr>
              <w:pStyle w:val="NormalNumberedIndent"/>
              <w:suppressAutoHyphens/>
              <w:rPr>
                <w:sz w:val="24"/>
                <w:szCs w:val="24"/>
                <w:lang w:val="cs-CZ"/>
              </w:rPr>
            </w:pPr>
            <w:r w:rsidRPr="002F0E8A">
              <w:rPr>
                <w:sz w:val="24"/>
                <w:szCs w:val="24"/>
                <w:lang w:val="cs-CZ"/>
              </w:rPr>
              <w:t>Předkupní právo s věcnými účinky k Nemovitosti zaniká dnem pravomocného kolaudačního rozhodnutí ke stavbě rodinného domu nebo jiné stavby určené pro trvalé bydlení podle pro dané místo platného územního plánu umístěné na Nemovitosti, kterou předloží Kupující Prodávajícím</w:t>
            </w:r>
            <w:r w:rsidR="00E378D9">
              <w:rPr>
                <w:sz w:val="24"/>
                <w:szCs w:val="24"/>
                <w:lang w:val="cs-CZ"/>
              </w:rPr>
              <w:t>u</w:t>
            </w:r>
            <w:r w:rsidRPr="002F0E8A">
              <w:rPr>
                <w:sz w:val="24"/>
                <w:szCs w:val="24"/>
                <w:lang w:val="cs-CZ"/>
              </w:rPr>
              <w:t>. Ustanovení čl. 5.3 až 5.5 se pro danou situaci použije analogicky.</w:t>
            </w:r>
          </w:p>
          <w:p w14:paraId="0A712A6A" w14:textId="51CE1C1B" w:rsidR="00861217" w:rsidRPr="002F0E8A" w:rsidRDefault="00166C63" w:rsidP="002C102F">
            <w:pPr>
              <w:pStyle w:val="Nadpis1"/>
              <w:keepNext w:val="0"/>
              <w:keepLines w:val="0"/>
              <w:suppressAutoHyphens/>
              <w:rPr>
                <w:szCs w:val="24"/>
                <w:lang w:val="cs-CZ"/>
              </w:rPr>
            </w:pPr>
            <w:r w:rsidRPr="002F0E8A">
              <w:rPr>
                <w:szCs w:val="24"/>
                <w:lang w:val="cs-CZ"/>
              </w:rPr>
              <w:t>Z</w:t>
            </w:r>
            <w:r w:rsidR="00861217" w:rsidRPr="002F0E8A">
              <w:rPr>
                <w:szCs w:val="24"/>
                <w:lang w:val="cs-CZ"/>
              </w:rPr>
              <w:t>ávěrečná ustanovení</w:t>
            </w:r>
          </w:p>
        </w:tc>
      </w:tr>
      <w:tr w:rsidR="00861217" w:rsidRPr="002F0E8A" w14:paraId="1116A474" w14:textId="77777777" w:rsidTr="00613F0B">
        <w:tc>
          <w:tcPr>
            <w:tcW w:w="5000" w:type="pct"/>
          </w:tcPr>
          <w:p w14:paraId="4674FCE5" w14:textId="7ECF8B11" w:rsidR="00861217" w:rsidRPr="000B03FD" w:rsidRDefault="00861217" w:rsidP="002C102F">
            <w:pPr>
              <w:pStyle w:val="NormalNumberedIndent"/>
              <w:suppressAutoHyphens/>
              <w:rPr>
                <w:sz w:val="24"/>
                <w:szCs w:val="24"/>
                <w:lang w:val="cs-CZ"/>
              </w:rPr>
            </w:pPr>
            <w:r w:rsidRPr="000B03FD">
              <w:rPr>
                <w:sz w:val="24"/>
                <w:szCs w:val="24"/>
                <w:lang w:val="cs-CZ"/>
              </w:rPr>
              <w:t xml:space="preserve">Tato Smlouva se vyhotovuje ve </w:t>
            </w:r>
            <w:r w:rsidR="00613F0B" w:rsidRPr="000B03FD">
              <w:rPr>
                <w:sz w:val="24"/>
                <w:szCs w:val="24"/>
                <w:lang w:val="cs-CZ"/>
              </w:rPr>
              <w:t>třech</w:t>
            </w:r>
            <w:r w:rsidRPr="000B03FD">
              <w:rPr>
                <w:sz w:val="24"/>
                <w:szCs w:val="24"/>
                <w:lang w:val="cs-CZ"/>
              </w:rPr>
              <w:t xml:space="preserve"> (</w:t>
            </w:r>
            <w:r w:rsidR="00613F0B" w:rsidRPr="000B03FD">
              <w:rPr>
                <w:sz w:val="24"/>
                <w:szCs w:val="24"/>
                <w:lang w:val="cs-CZ"/>
              </w:rPr>
              <w:t>3</w:t>
            </w:r>
            <w:r w:rsidRPr="000B03FD">
              <w:rPr>
                <w:sz w:val="24"/>
                <w:szCs w:val="24"/>
                <w:lang w:val="cs-CZ"/>
              </w:rPr>
              <w:t>) stejnopisech, z nichž každá ze Smluvních stran obdrží po jednom stejnopise, a jeden stejnopis s úředně ověřenými podpisy Smluvních stran je určen pro účely vkladu vlastnického práva ve prospěch Kupujícího do katastru nemovitostí.</w:t>
            </w:r>
          </w:p>
        </w:tc>
      </w:tr>
      <w:tr w:rsidR="00861217" w:rsidRPr="00C93C15" w14:paraId="688C9545" w14:textId="77777777" w:rsidTr="00613F0B">
        <w:tc>
          <w:tcPr>
            <w:tcW w:w="5000" w:type="pct"/>
          </w:tcPr>
          <w:p w14:paraId="2CAF9FA7" w14:textId="77777777" w:rsidR="00861217" w:rsidRPr="000B03FD" w:rsidRDefault="00861217" w:rsidP="002C102F">
            <w:pPr>
              <w:pStyle w:val="NormalNumberedIndent"/>
              <w:suppressAutoHyphens/>
              <w:rPr>
                <w:sz w:val="24"/>
                <w:szCs w:val="24"/>
                <w:lang w:val="cs-CZ"/>
              </w:rPr>
            </w:pPr>
            <w:r w:rsidRPr="000B03FD">
              <w:rPr>
                <w:sz w:val="24"/>
                <w:szCs w:val="24"/>
                <w:lang w:val="cs-CZ"/>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ustanoveními této Smlouvy a nezakládá žádný závazek žádné ze Smluvních stran.</w:t>
            </w:r>
          </w:p>
        </w:tc>
      </w:tr>
      <w:tr w:rsidR="00861217" w:rsidRPr="00C93C15" w14:paraId="70B350B7" w14:textId="77777777" w:rsidTr="00613F0B">
        <w:tc>
          <w:tcPr>
            <w:tcW w:w="5000" w:type="pct"/>
          </w:tcPr>
          <w:p w14:paraId="74475C78" w14:textId="77777777" w:rsidR="00861217" w:rsidRPr="000B03FD" w:rsidRDefault="00861217" w:rsidP="002C102F">
            <w:pPr>
              <w:pStyle w:val="NormalNumberedIndent"/>
              <w:suppressAutoHyphens/>
              <w:rPr>
                <w:sz w:val="24"/>
                <w:szCs w:val="24"/>
                <w:lang w:val="cs-CZ"/>
              </w:rPr>
            </w:pPr>
            <w:r w:rsidRPr="000B03FD">
              <w:rPr>
                <w:sz w:val="24"/>
                <w:szCs w:val="24"/>
                <w:lang w:val="cs-CZ"/>
              </w:rPr>
              <w:t>Tato Smlouva nabývá platnosti a účinnosti dnem jejího podpisu Smluvními stranami.</w:t>
            </w:r>
          </w:p>
        </w:tc>
      </w:tr>
      <w:tr w:rsidR="00861217" w:rsidRPr="00C93C15" w14:paraId="06D221AC" w14:textId="77777777" w:rsidTr="00613F0B">
        <w:tc>
          <w:tcPr>
            <w:tcW w:w="5000" w:type="pct"/>
          </w:tcPr>
          <w:p w14:paraId="2A2C76B1" w14:textId="77777777" w:rsidR="00861217" w:rsidRPr="000B03FD" w:rsidRDefault="00861217" w:rsidP="002C102F">
            <w:pPr>
              <w:pStyle w:val="NormalNumberedIndent"/>
              <w:suppressAutoHyphens/>
              <w:rPr>
                <w:sz w:val="24"/>
                <w:szCs w:val="24"/>
                <w:lang w:val="cs-CZ"/>
              </w:rPr>
            </w:pPr>
            <w:r w:rsidRPr="000B03FD">
              <w:rPr>
                <w:sz w:val="24"/>
                <w:szCs w:val="24"/>
                <w:lang w:val="cs-CZ"/>
              </w:rPr>
              <w:t>Tato Smlouva se řídí právním řádem České republiky.</w:t>
            </w:r>
          </w:p>
        </w:tc>
      </w:tr>
      <w:tr w:rsidR="00861217" w:rsidRPr="00C93C15" w14:paraId="491EBCB0" w14:textId="77777777" w:rsidTr="00613F0B">
        <w:tc>
          <w:tcPr>
            <w:tcW w:w="5000" w:type="pct"/>
          </w:tcPr>
          <w:p w14:paraId="46626DE5" w14:textId="77777777" w:rsidR="00861217" w:rsidRPr="000B03FD" w:rsidRDefault="00861217" w:rsidP="002C102F">
            <w:pPr>
              <w:pStyle w:val="NormalNumberedIndent"/>
              <w:suppressAutoHyphens/>
              <w:rPr>
                <w:sz w:val="24"/>
                <w:szCs w:val="24"/>
                <w:lang w:val="cs-CZ"/>
              </w:rPr>
            </w:pPr>
            <w:r w:rsidRPr="000B03FD">
              <w:rPr>
                <w:sz w:val="24"/>
                <w:szCs w:val="24"/>
                <w:lang w:val="cs-CZ"/>
              </w:rPr>
              <w:lastRenderedPageBreak/>
              <w:t>Tato Smlouva může být měněna a doplňována pouze písemnými dodatky podepsanými Smluvními stranami.</w:t>
            </w:r>
          </w:p>
        </w:tc>
      </w:tr>
      <w:tr w:rsidR="00861217" w:rsidRPr="002F0E8A" w14:paraId="6EBF1F11" w14:textId="77777777" w:rsidTr="00613F0B">
        <w:tc>
          <w:tcPr>
            <w:tcW w:w="5000" w:type="pct"/>
          </w:tcPr>
          <w:p w14:paraId="758901EF" w14:textId="3276DA4D" w:rsidR="00166C63" w:rsidRPr="000B03FD" w:rsidRDefault="00166C63" w:rsidP="002C102F">
            <w:pPr>
              <w:pStyle w:val="NormalNumberedIndent"/>
              <w:suppressAutoHyphens/>
              <w:rPr>
                <w:sz w:val="24"/>
                <w:szCs w:val="24"/>
                <w:lang w:val="cs-CZ"/>
              </w:rPr>
            </w:pPr>
            <w:r w:rsidRPr="000B03FD">
              <w:rPr>
                <w:sz w:val="24"/>
                <w:szCs w:val="24"/>
                <w:lang w:val="cs-CZ"/>
              </w:rPr>
              <w:t xml:space="preserve">Zastupitelstvo schválilo tuto Smlouvu na svém zasedání dne </w:t>
            </w:r>
            <w:r w:rsidR="00C93C15">
              <w:rPr>
                <w:sz w:val="24"/>
                <w:szCs w:val="24"/>
                <w:lang w:val="cs-CZ"/>
              </w:rPr>
              <w:t>10.9.2024</w:t>
            </w:r>
            <w:r w:rsidRPr="000B03FD">
              <w:rPr>
                <w:sz w:val="24"/>
                <w:szCs w:val="24"/>
                <w:lang w:val="cs-CZ"/>
              </w:rPr>
              <w:t xml:space="preserve"> pod číslem</w:t>
            </w:r>
            <w:r w:rsidR="00ED6826">
              <w:rPr>
                <w:sz w:val="24"/>
                <w:szCs w:val="24"/>
                <w:lang w:val="cs-CZ"/>
              </w:rPr>
              <w:t xml:space="preserve"> usnesení</w:t>
            </w:r>
            <w:r w:rsidRPr="000B03FD">
              <w:rPr>
                <w:sz w:val="24"/>
                <w:szCs w:val="24"/>
                <w:lang w:val="cs-CZ"/>
              </w:rPr>
              <w:t xml:space="preserve"> </w:t>
            </w:r>
            <w:r w:rsidR="00C93C15">
              <w:rPr>
                <w:sz w:val="24"/>
                <w:szCs w:val="24"/>
                <w:lang w:val="cs-CZ"/>
              </w:rPr>
              <w:t>120/2024</w:t>
            </w:r>
            <w:r w:rsidRPr="000B03FD">
              <w:rPr>
                <w:sz w:val="24"/>
                <w:szCs w:val="24"/>
                <w:lang w:val="cs-CZ"/>
              </w:rPr>
              <w:t>.</w:t>
            </w:r>
          </w:p>
          <w:p w14:paraId="11DBBC45" w14:textId="1677306A" w:rsidR="00861217" w:rsidRPr="000B03FD" w:rsidRDefault="00861217" w:rsidP="002C102F">
            <w:pPr>
              <w:pStyle w:val="NormalNumberedIndent"/>
              <w:suppressAutoHyphens/>
              <w:rPr>
                <w:sz w:val="24"/>
                <w:szCs w:val="24"/>
                <w:lang w:val="cs-CZ"/>
              </w:rPr>
            </w:pPr>
            <w:r w:rsidRPr="000B03FD">
              <w:rPr>
                <w:sz w:val="24"/>
                <w:szCs w:val="24"/>
                <w:lang w:val="cs-CZ"/>
              </w:rPr>
              <w:t>Smluvní strany prohlašují, že si Smlouvu přečetly, a že porozuměly jejímu obsahu a účelu. Dále Smluvní strany prohlašují, že tato Smlouva je výrazem jejich pravé a svobodné vůle, a že není uzavírána v tísni ani za nápadně nevýhodných podmínek. Na důkaz toho připojují své podpisy.</w:t>
            </w:r>
          </w:p>
          <w:p w14:paraId="7C4E9BE2" w14:textId="63D5A711" w:rsidR="00166C63" w:rsidRPr="000B03FD" w:rsidRDefault="00166C63" w:rsidP="00166C63">
            <w:pPr>
              <w:rPr>
                <w:sz w:val="24"/>
                <w:szCs w:val="24"/>
                <w:lang w:val="cs-CZ"/>
              </w:rPr>
            </w:pPr>
          </w:p>
        </w:tc>
      </w:tr>
    </w:tbl>
    <w:p w14:paraId="04F96574" w14:textId="77777777" w:rsidR="00F43EE9" w:rsidRPr="000B03FD" w:rsidRDefault="00F43EE9">
      <w:pPr>
        <w:rPr>
          <w:sz w:val="24"/>
          <w:szCs w:val="24"/>
        </w:rPr>
      </w:pPr>
    </w:p>
    <w:p w14:paraId="3F8C5738" w14:textId="1550A5FF" w:rsidR="00613F0B" w:rsidRPr="000B03FD" w:rsidRDefault="00613F0B">
      <w:pPr>
        <w:rPr>
          <w:sz w:val="24"/>
          <w:szCs w:val="24"/>
          <w:lang w:val="cs-CZ"/>
        </w:rPr>
      </w:pPr>
      <w:r w:rsidRPr="000B03FD">
        <w:rPr>
          <w:sz w:val="24"/>
          <w:szCs w:val="24"/>
          <w:lang w:val="cs-CZ"/>
        </w:rPr>
        <w:t>V dne</w:t>
      </w:r>
      <w:sdt>
        <w:sdtPr>
          <w:rPr>
            <w:sz w:val="24"/>
            <w:szCs w:val="24"/>
            <w:highlight w:val="yellow"/>
            <w:lang w:val="cs-CZ"/>
          </w:rPr>
          <w:id w:val="-1543905832"/>
          <w:placeholder>
            <w:docPart w:val="DefaultPlaceholder_-1854013440"/>
          </w:placeholder>
          <w:text/>
        </w:sdtPr>
        <w:sdtContent>
          <w:r w:rsidRPr="00C93C15">
            <w:rPr>
              <w:sz w:val="24"/>
              <w:szCs w:val="24"/>
              <w:highlight w:val="yellow"/>
              <w:lang w:val="cs-CZ"/>
            </w:rPr>
            <w:t>……………</w:t>
          </w:r>
        </w:sdtContent>
      </w:sdt>
      <w:r w:rsidRPr="000B03FD">
        <w:rPr>
          <w:sz w:val="24"/>
          <w:szCs w:val="24"/>
          <w:lang w:val="cs-CZ"/>
        </w:rPr>
        <w:tab/>
      </w:r>
      <w:r w:rsidRPr="000B03FD">
        <w:rPr>
          <w:sz w:val="24"/>
          <w:szCs w:val="24"/>
          <w:lang w:val="cs-CZ"/>
        </w:rPr>
        <w:tab/>
      </w:r>
      <w:r w:rsidRPr="000B03FD">
        <w:rPr>
          <w:sz w:val="24"/>
          <w:szCs w:val="24"/>
          <w:lang w:val="cs-CZ"/>
        </w:rPr>
        <w:tab/>
      </w:r>
    </w:p>
    <w:p w14:paraId="3061EB34" w14:textId="77777777" w:rsidR="00613F0B" w:rsidRPr="000B03FD" w:rsidRDefault="00613F0B">
      <w:pPr>
        <w:rPr>
          <w:sz w:val="24"/>
          <w:szCs w:val="24"/>
          <w:lang w:val="cs-CZ"/>
        </w:rPr>
      </w:pPr>
    </w:p>
    <w:p w14:paraId="1E8E3497" w14:textId="137C66B5" w:rsidR="00613F0B" w:rsidRDefault="00613F0B">
      <w:pPr>
        <w:rPr>
          <w:sz w:val="24"/>
          <w:szCs w:val="24"/>
          <w:lang w:val="cs-CZ"/>
        </w:rPr>
      </w:pPr>
      <w:r w:rsidRPr="000B03FD">
        <w:rPr>
          <w:sz w:val="24"/>
          <w:szCs w:val="24"/>
          <w:lang w:val="cs-CZ"/>
        </w:rPr>
        <w:t xml:space="preserve">Prodávající </w:t>
      </w:r>
      <w:r w:rsidRPr="000B03FD">
        <w:rPr>
          <w:sz w:val="24"/>
          <w:szCs w:val="24"/>
          <w:lang w:val="cs-CZ"/>
        </w:rPr>
        <w:tab/>
      </w:r>
      <w:r w:rsidRPr="000B03FD">
        <w:rPr>
          <w:sz w:val="24"/>
          <w:szCs w:val="24"/>
          <w:lang w:val="cs-CZ"/>
        </w:rPr>
        <w:tab/>
      </w:r>
      <w:r w:rsidRPr="000B03FD">
        <w:rPr>
          <w:sz w:val="24"/>
          <w:szCs w:val="24"/>
          <w:lang w:val="cs-CZ"/>
        </w:rPr>
        <w:tab/>
      </w:r>
      <w:r w:rsidRPr="000B03FD">
        <w:rPr>
          <w:sz w:val="24"/>
          <w:szCs w:val="24"/>
          <w:lang w:val="cs-CZ"/>
        </w:rPr>
        <w:tab/>
      </w:r>
      <w:r w:rsidRPr="000B03FD">
        <w:rPr>
          <w:sz w:val="24"/>
          <w:szCs w:val="24"/>
          <w:lang w:val="cs-CZ"/>
        </w:rPr>
        <w:tab/>
      </w:r>
      <w:r w:rsidRPr="000B03FD">
        <w:rPr>
          <w:sz w:val="24"/>
          <w:szCs w:val="24"/>
          <w:lang w:val="cs-CZ"/>
        </w:rPr>
        <w:tab/>
        <w:t xml:space="preserve">Kupující </w:t>
      </w:r>
    </w:p>
    <w:p w14:paraId="4C60B841" w14:textId="1B01E2D1" w:rsidR="00C93C15" w:rsidRDefault="00C93C15" w:rsidP="00C93C15">
      <w:pPr>
        <w:spacing w:before="0" w:line="240" w:lineRule="auto"/>
        <w:rPr>
          <w:sz w:val="24"/>
          <w:szCs w:val="24"/>
          <w:lang w:val="cs-CZ"/>
        </w:rPr>
      </w:pPr>
      <w:r>
        <w:rPr>
          <w:sz w:val="24"/>
          <w:szCs w:val="24"/>
          <w:lang w:val="cs-CZ"/>
        </w:rPr>
        <w:t>Bc. Ludmila Zimová Lehetová</w:t>
      </w:r>
      <w:r>
        <w:rPr>
          <w:sz w:val="24"/>
          <w:szCs w:val="24"/>
          <w:lang w:val="cs-CZ"/>
        </w:rPr>
        <w:tab/>
      </w:r>
      <w:r>
        <w:rPr>
          <w:sz w:val="24"/>
          <w:szCs w:val="24"/>
          <w:lang w:val="cs-CZ"/>
        </w:rPr>
        <w:tab/>
      </w:r>
      <w:r>
        <w:rPr>
          <w:sz w:val="24"/>
          <w:szCs w:val="24"/>
          <w:lang w:val="cs-CZ"/>
        </w:rPr>
        <w:tab/>
      </w:r>
      <w:r>
        <w:rPr>
          <w:sz w:val="24"/>
          <w:szCs w:val="24"/>
          <w:lang w:val="cs-CZ"/>
        </w:rPr>
        <w:tab/>
      </w:r>
      <w:sdt>
        <w:sdtPr>
          <w:rPr>
            <w:sz w:val="24"/>
            <w:szCs w:val="24"/>
            <w:highlight w:val="yellow"/>
            <w:lang w:val="cs-CZ"/>
          </w:rPr>
          <w:id w:val="1691186913"/>
          <w:placeholder>
            <w:docPart w:val="DefaultPlaceholder_-1854013440"/>
          </w:placeholder>
          <w:text/>
        </w:sdtPr>
        <w:sdtContent>
          <w:r w:rsidRPr="00C93C15">
            <w:rPr>
              <w:sz w:val="24"/>
              <w:szCs w:val="24"/>
              <w:highlight w:val="yellow"/>
              <w:lang w:val="cs-CZ"/>
            </w:rPr>
            <w:t>XXX</w:t>
          </w:r>
        </w:sdtContent>
      </w:sdt>
    </w:p>
    <w:p w14:paraId="3AB3A45A" w14:textId="4FA656E8" w:rsidR="00C93C15" w:rsidRPr="000B03FD" w:rsidRDefault="00C93C15" w:rsidP="00C93C15">
      <w:pPr>
        <w:spacing w:before="0" w:line="240" w:lineRule="auto"/>
        <w:rPr>
          <w:sz w:val="24"/>
          <w:szCs w:val="24"/>
          <w:lang w:val="cs-CZ"/>
        </w:rPr>
      </w:pPr>
      <w:r>
        <w:rPr>
          <w:sz w:val="24"/>
          <w:szCs w:val="24"/>
          <w:lang w:val="cs-CZ"/>
        </w:rPr>
        <w:t xml:space="preserve">Starostka obce </w:t>
      </w:r>
    </w:p>
    <w:sectPr w:rsidR="00C93C15" w:rsidRPr="000B03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29D9" w14:textId="77777777" w:rsidR="00A82966" w:rsidRDefault="00A82966" w:rsidP="00505020">
      <w:pPr>
        <w:spacing w:before="0" w:line="240" w:lineRule="auto"/>
      </w:pPr>
      <w:r>
        <w:separator/>
      </w:r>
    </w:p>
  </w:endnote>
  <w:endnote w:type="continuationSeparator" w:id="0">
    <w:p w14:paraId="38D96E95" w14:textId="77777777" w:rsidR="00A82966" w:rsidRDefault="00A82966" w:rsidP="0050502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B634" w14:textId="77777777" w:rsidR="00A82966" w:rsidRDefault="00A82966" w:rsidP="00505020">
      <w:pPr>
        <w:spacing w:before="0" w:line="240" w:lineRule="auto"/>
      </w:pPr>
      <w:r>
        <w:separator/>
      </w:r>
    </w:p>
  </w:footnote>
  <w:footnote w:type="continuationSeparator" w:id="0">
    <w:p w14:paraId="66AD1D0B" w14:textId="77777777" w:rsidR="00A82966" w:rsidRDefault="00A82966" w:rsidP="00505020">
      <w:pPr>
        <w:spacing w:before="0" w:line="240" w:lineRule="auto"/>
      </w:pPr>
      <w:r>
        <w:continuationSeparator/>
      </w:r>
    </w:p>
  </w:footnote>
  <w:footnote w:id="1">
    <w:p w14:paraId="02E23B31" w14:textId="5DE5F950" w:rsidR="00505020" w:rsidRPr="00505020" w:rsidRDefault="00505020">
      <w:pPr>
        <w:pStyle w:val="Textpoznpodarou"/>
        <w:rPr>
          <w:lang w:val="cs-CZ"/>
        </w:rPr>
      </w:pPr>
      <w:r>
        <w:rPr>
          <w:rStyle w:val="Znakapoznpodarou"/>
        </w:rPr>
        <w:footnoteRef/>
      </w:r>
      <w:r>
        <w:t xml:space="preserve"> </w:t>
      </w:r>
      <w:r>
        <w:rPr>
          <w:lang w:val="cs-CZ"/>
        </w:rPr>
        <w:t xml:space="preserve">Nehodící se škrtnout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57AA9"/>
    <w:multiLevelType w:val="multilevel"/>
    <w:tmpl w:val="14AED6CC"/>
    <w:styleLink w:val="MultilevelListBullets"/>
    <w:lvl w:ilvl="0">
      <w:start w:val="1"/>
      <w:numFmt w:val="bullet"/>
      <w:pStyle w:val="Seznamsodrkami"/>
      <w:lvlText w:val="●"/>
      <w:lvlJc w:val="left"/>
      <w:pPr>
        <w:tabs>
          <w:tab w:val="num" w:pos="425"/>
        </w:tabs>
        <w:ind w:left="425" w:hanging="425"/>
      </w:pPr>
      <w:rPr>
        <w:rFonts w:ascii="Arial" w:hAnsi="Arial" w:hint="default"/>
        <w:color w:val="auto"/>
      </w:rPr>
    </w:lvl>
    <w:lvl w:ilvl="1">
      <w:start w:val="1"/>
      <w:numFmt w:val="bullet"/>
      <w:pStyle w:val="Seznamsodrkami2"/>
      <w:lvlText w:val="●"/>
      <w:lvlJc w:val="left"/>
      <w:pPr>
        <w:tabs>
          <w:tab w:val="num" w:pos="851"/>
        </w:tabs>
        <w:ind w:left="851" w:hanging="426"/>
      </w:pPr>
      <w:rPr>
        <w:rFonts w:ascii="Arial" w:hAnsi="Arial" w:hint="default"/>
        <w:color w:val="auto"/>
      </w:rPr>
    </w:lvl>
    <w:lvl w:ilvl="2">
      <w:start w:val="1"/>
      <w:numFmt w:val="bullet"/>
      <w:pStyle w:val="ListBulletIndent2ListBullet3"/>
      <w:lvlText w:val="●"/>
      <w:lvlJc w:val="left"/>
      <w:pPr>
        <w:tabs>
          <w:tab w:val="num" w:pos="1276"/>
        </w:tabs>
        <w:ind w:left="1275" w:hanging="425"/>
      </w:pPr>
      <w:rPr>
        <w:rFonts w:ascii="Arial" w:hAnsi="Arial" w:hint="default"/>
        <w:color w:val="auto"/>
      </w:rPr>
    </w:lvl>
    <w:lvl w:ilvl="3">
      <w:start w:val="1"/>
      <w:numFmt w:val="bullet"/>
      <w:lvlRestart w:val="0"/>
      <w:lvlText w:val="●"/>
      <w:lvlJc w:val="left"/>
      <w:pPr>
        <w:tabs>
          <w:tab w:val="num" w:pos="1700"/>
        </w:tabs>
        <w:ind w:left="1700" w:hanging="425"/>
      </w:pPr>
      <w:rPr>
        <w:rFonts w:ascii="Arial" w:hAnsi="Arial" w:hint="default"/>
        <w:color w:val="auto"/>
      </w:rPr>
    </w:lvl>
    <w:lvl w:ilvl="4">
      <w:start w:val="1"/>
      <w:numFmt w:val="bullet"/>
      <w:lvlText w:val="●"/>
      <w:lvlJc w:val="left"/>
      <w:pPr>
        <w:tabs>
          <w:tab w:val="num" w:pos="2125"/>
        </w:tabs>
        <w:ind w:left="2125" w:hanging="425"/>
      </w:pPr>
      <w:rPr>
        <w:rFonts w:ascii="Arial" w:hAnsi="Arial" w:hint="default"/>
        <w:color w:val="auto"/>
      </w:rPr>
    </w:lvl>
    <w:lvl w:ilvl="5">
      <w:start w:val="1"/>
      <w:numFmt w:val="bullet"/>
      <w:lvlText w:val="●"/>
      <w:lvlJc w:val="left"/>
      <w:pPr>
        <w:tabs>
          <w:tab w:val="num" w:pos="2550"/>
        </w:tabs>
        <w:ind w:left="2550" w:hanging="425"/>
      </w:pPr>
      <w:rPr>
        <w:rFonts w:ascii="Arial" w:hAnsi="Arial" w:hint="default"/>
        <w:color w:val="auto"/>
      </w:rPr>
    </w:lvl>
    <w:lvl w:ilvl="6">
      <w:start w:val="1"/>
      <w:numFmt w:val="bullet"/>
      <w:lvlText w:val="●"/>
      <w:lvlJc w:val="left"/>
      <w:pPr>
        <w:tabs>
          <w:tab w:val="num" w:pos="2975"/>
        </w:tabs>
        <w:ind w:left="2975" w:hanging="425"/>
      </w:pPr>
      <w:rPr>
        <w:rFonts w:ascii="Arial" w:hAnsi="Arial" w:hint="default"/>
        <w:b w:val="0"/>
        <w:i w:val="0"/>
        <w:color w:val="auto"/>
      </w:rPr>
    </w:lvl>
    <w:lvl w:ilvl="7">
      <w:start w:val="1"/>
      <w:numFmt w:val="bullet"/>
      <w:lvlText w:val="●"/>
      <w:lvlJc w:val="left"/>
      <w:pPr>
        <w:tabs>
          <w:tab w:val="num" w:pos="3400"/>
        </w:tabs>
        <w:ind w:left="3400" w:hanging="425"/>
      </w:pPr>
      <w:rPr>
        <w:rFonts w:ascii="Arial" w:hAnsi="Arial" w:hint="default"/>
        <w:color w:val="auto"/>
      </w:rPr>
    </w:lvl>
    <w:lvl w:ilvl="8">
      <w:start w:val="1"/>
      <w:numFmt w:val="bullet"/>
      <w:lvlText w:val="●"/>
      <w:lvlJc w:val="left"/>
      <w:pPr>
        <w:tabs>
          <w:tab w:val="num" w:pos="3825"/>
        </w:tabs>
        <w:ind w:left="3825" w:hanging="425"/>
      </w:pPr>
      <w:rPr>
        <w:rFonts w:ascii="Arial" w:hAnsi="Arial" w:hint="default"/>
        <w:color w:val="auto"/>
      </w:rPr>
    </w:lvl>
  </w:abstractNum>
  <w:abstractNum w:abstractNumId="1" w15:restartNumberingAfterBreak="0">
    <w:nsid w:val="17B93998"/>
    <w:multiLevelType w:val="multilevel"/>
    <w:tmpl w:val="77D8F70C"/>
    <w:styleLink w:val="MultilevelListforHeadings"/>
    <w:lvl w:ilvl="0">
      <w:start w:val="1"/>
      <w:numFmt w:val="decimal"/>
      <w:pStyle w:val="Nadpis1"/>
      <w:lvlText w:val="%1"/>
      <w:lvlJc w:val="left"/>
      <w:pPr>
        <w:tabs>
          <w:tab w:val="num" w:pos="425"/>
        </w:tabs>
        <w:ind w:left="425" w:hanging="425"/>
      </w:pPr>
      <w:rPr>
        <w:rFonts w:hint="default"/>
        <w:b/>
        <w:i w:val="0"/>
      </w:rPr>
    </w:lvl>
    <w:lvl w:ilvl="1">
      <w:start w:val="1"/>
      <w:numFmt w:val="decimal"/>
      <w:pStyle w:val="Nadpis2"/>
      <w:lvlText w:val="%1.%2"/>
      <w:lvlJc w:val="left"/>
      <w:pPr>
        <w:tabs>
          <w:tab w:val="num" w:pos="709"/>
        </w:tabs>
        <w:ind w:left="709" w:hanging="709"/>
      </w:pPr>
      <w:rPr>
        <w:rFonts w:hint="default"/>
        <w:b/>
        <w:i w:val="0"/>
      </w:rPr>
    </w:lvl>
    <w:lvl w:ilvl="2">
      <w:start w:val="1"/>
      <w:numFmt w:val="decimal"/>
      <w:pStyle w:val="Nadpis3"/>
      <w:lvlText w:val="%1.%2.%3"/>
      <w:lvlJc w:val="left"/>
      <w:pPr>
        <w:tabs>
          <w:tab w:val="num" w:pos="992"/>
        </w:tabs>
        <w:ind w:left="992" w:hanging="992"/>
      </w:pPr>
      <w:rPr>
        <w:rFonts w:hint="default"/>
        <w:b/>
        <w:i w:val="0"/>
      </w:rPr>
    </w:lvl>
    <w:lvl w:ilvl="3">
      <w:start w:val="1"/>
      <w:numFmt w:val="decimal"/>
      <w:pStyle w:val="Nadpis4"/>
      <w:lvlText w:val="%1.%2.%3.%4"/>
      <w:lvlJc w:val="left"/>
      <w:pPr>
        <w:tabs>
          <w:tab w:val="num" w:pos="1134"/>
        </w:tabs>
        <w:ind w:left="1134" w:hanging="1134"/>
      </w:pPr>
      <w:rPr>
        <w:rFonts w:hint="default"/>
        <w:b/>
        <w:i w:val="0"/>
      </w:rPr>
    </w:lvl>
    <w:lvl w:ilvl="4">
      <w:start w:val="1"/>
      <w:numFmt w:val="decimal"/>
      <w:pStyle w:val="Nadpis5"/>
      <w:lvlText w:val="%1.%2.%3.%4.%5"/>
      <w:lvlJc w:val="left"/>
      <w:pPr>
        <w:tabs>
          <w:tab w:val="num" w:pos="1276"/>
        </w:tabs>
        <w:ind w:left="1276" w:hanging="1276"/>
      </w:pPr>
      <w:rPr>
        <w:rFonts w:hint="default"/>
        <w:b/>
        <w:i w:val="0"/>
      </w:rPr>
    </w:lvl>
    <w:lvl w:ilvl="5">
      <w:start w:val="1"/>
      <w:numFmt w:val="none"/>
      <w:lvlText w:val=""/>
      <w:lvlJc w:val="left"/>
      <w:pPr>
        <w:tabs>
          <w:tab w:val="num" w:pos="13610"/>
        </w:tabs>
        <w:ind w:left="7656" w:firstLine="0"/>
      </w:pPr>
      <w:rPr>
        <w:rFonts w:hint="default"/>
      </w:rPr>
    </w:lvl>
    <w:lvl w:ilvl="6">
      <w:start w:val="1"/>
      <w:numFmt w:val="none"/>
      <w:pStyle w:val="Nadpis7"/>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2" w15:restartNumberingAfterBreak="0">
    <w:nsid w:val="7F234894"/>
    <w:multiLevelType w:val="multilevel"/>
    <w:tmpl w:val="77D8F70C"/>
    <w:numStyleLink w:val="MultilevelListforHeadings"/>
  </w:abstractNum>
  <w:num w:numId="1" w16cid:durableId="1842887238">
    <w:abstractNumId w:val="0"/>
  </w:num>
  <w:num w:numId="2" w16cid:durableId="1322082284">
    <w:abstractNumId w:val="1"/>
  </w:num>
  <w:num w:numId="3" w16cid:durableId="1527331143">
    <w:abstractNumId w:val="2"/>
  </w:num>
  <w:num w:numId="4" w16cid:durableId="184948639">
    <w:abstractNumId w:val="2"/>
  </w:num>
  <w:num w:numId="5" w16cid:durableId="952369753">
    <w:abstractNumId w:val="2"/>
  </w:num>
  <w:num w:numId="6" w16cid:durableId="969671032">
    <w:abstractNumId w:val="2"/>
  </w:num>
  <w:num w:numId="7" w16cid:durableId="1050031182">
    <w:abstractNumId w:val="2"/>
  </w:num>
  <w:num w:numId="8" w16cid:durableId="423458244">
    <w:abstractNumId w:val="2"/>
  </w:num>
  <w:num w:numId="9" w16cid:durableId="57509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M+PvkSEPBQT13QEJcdY62ubzEd6/l5/wkvLWrwNC0XTqza+2lFtBzIDr+/1RMRm4HhNa9eMFyJYUkWTBuyYeOQ==" w:salt="ngh/URtPWnPhajvmb5Jbs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17"/>
    <w:rsid w:val="00011BBF"/>
    <w:rsid w:val="000814A4"/>
    <w:rsid w:val="000B03FD"/>
    <w:rsid w:val="000C1943"/>
    <w:rsid w:val="00100330"/>
    <w:rsid w:val="00166C63"/>
    <w:rsid w:val="0019646D"/>
    <w:rsid w:val="001C4DD0"/>
    <w:rsid w:val="001D05A0"/>
    <w:rsid w:val="001D304C"/>
    <w:rsid w:val="00216EA2"/>
    <w:rsid w:val="002F0E8A"/>
    <w:rsid w:val="00375D7D"/>
    <w:rsid w:val="003C0C27"/>
    <w:rsid w:val="003E7484"/>
    <w:rsid w:val="003F16A2"/>
    <w:rsid w:val="004061F6"/>
    <w:rsid w:val="00416961"/>
    <w:rsid w:val="004E1A27"/>
    <w:rsid w:val="00505020"/>
    <w:rsid w:val="005445DF"/>
    <w:rsid w:val="005655F6"/>
    <w:rsid w:val="005B4C41"/>
    <w:rsid w:val="00613F0B"/>
    <w:rsid w:val="00663BBA"/>
    <w:rsid w:val="0067021D"/>
    <w:rsid w:val="0068350A"/>
    <w:rsid w:val="006A4B25"/>
    <w:rsid w:val="006B7335"/>
    <w:rsid w:val="006D69DE"/>
    <w:rsid w:val="00706232"/>
    <w:rsid w:val="0071518E"/>
    <w:rsid w:val="007254EC"/>
    <w:rsid w:val="007422F8"/>
    <w:rsid w:val="0075344B"/>
    <w:rsid w:val="00792B3A"/>
    <w:rsid w:val="00861217"/>
    <w:rsid w:val="00950065"/>
    <w:rsid w:val="009902D2"/>
    <w:rsid w:val="00A73F7B"/>
    <w:rsid w:val="00A806EC"/>
    <w:rsid w:val="00A82966"/>
    <w:rsid w:val="00A85E23"/>
    <w:rsid w:val="00A92ED9"/>
    <w:rsid w:val="00AA10FA"/>
    <w:rsid w:val="00B114A2"/>
    <w:rsid w:val="00BD7E19"/>
    <w:rsid w:val="00C45056"/>
    <w:rsid w:val="00C70AF1"/>
    <w:rsid w:val="00C93C15"/>
    <w:rsid w:val="00CA74B1"/>
    <w:rsid w:val="00CD0DA3"/>
    <w:rsid w:val="00D06760"/>
    <w:rsid w:val="00D32D3C"/>
    <w:rsid w:val="00D4381F"/>
    <w:rsid w:val="00D64987"/>
    <w:rsid w:val="00D64EDF"/>
    <w:rsid w:val="00D91E0B"/>
    <w:rsid w:val="00DA5DF1"/>
    <w:rsid w:val="00DC0949"/>
    <w:rsid w:val="00E22654"/>
    <w:rsid w:val="00E378D9"/>
    <w:rsid w:val="00E5761E"/>
    <w:rsid w:val="00E9288D"/>
    <w:rsid w:val="00ED6826"/>
    <w:rsid w:val="00F27419"/>
    <w:rsid w:val="00F43EE9"/>
    <w:rsid w:val="00F46AB8"/>
    <w:rsid w:val="00F72E92"/>
    <w:rsid w:val="00F975E5"/>
    <w:rsid w:val="00F97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5F18"/>
  <w15:chartTrackingRefBased/>
  <w15:docId w15:val="{0A6ABCF9-4517-4EC9-B7CA-1952E8BE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9" w:unhideWhenUsed="1" w:qFormat="1"/>
    <w:lsdException w:name="heading 7" w:semiHidden="1" w:uiPriority="1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Text"/>
    <w:qFormat/>
    <w:rsid w:val="00861217"/>
    <w:pPr>
      <w:spacing w:before="240" w:after="0" w:line="300" w:lineRule="auto"/>
      <w:jc w:val="both"/>
    </w:pPr>
    <w:rPr>
      <w:kern w:val="0"/>
      <w:sz w:val="18"/>
      <w:szCs w:val="18"/>
      <w:lang w:val="en-GB"/>
      <w14:ligatures w14:val="none"/>
    </w:rPr>
  </w:style>
  <w:style w:type="paragraph" w:styleId="Nadpis1">
    <w:name w:val="heading 1"/>
    <w:basedOn w:val="Normln"/>
    <w:next w:val="Normln"/>
    <w:link w:val="Nadpis1Char"/>
    <w:uiPriority w:val="19"/>
    <w:qFormat/>
    <w:rsid w:val="00861217"/>
    <w:pPr>
      <w:keepNext/>
      <w:keepLines/>
      <w:numPr>
        <w:numId w:val="3"/>
      </w:numPr>
      <w:spacing w:before="360" w:after="240"/>
      <w:jc w:val="left"/>
      <w:outlineLvl w:val="0"/>
    </w:pPr>
    <w:rPr>
      <w:rFonts w:asciiTheme="majorHAnsi" w:eastAsiaTheme="majorEastAsia" w:hAnsiTheme="majorHAnsi" w:cstheme="majorBidi"/>
      <w:b/>
      <w:bCs/>
      <w:sz w:val="24"/>
      <w:szCs w:val="40"/>
    </w:rPr>
  </w:style>
  <w:style w:type="paragraph" w:styleId="Nadpis2">
    <w:name w:val="heading 2"/>
    <w:basedOn w:val="Nadpis1"/>
    <w:next w:val="Normln"/>
    <w:link w:val="Nadpis2Char"/>
    <w:uiPriority w:val="19"/>
    <w:qFormat/>
    <w:rsid w:val="00861217"/>
    <w:pPr>
      <w:numPr>
        <w:ilvl w:val="1"/>
      </w:numPr>
      <w:outlineLvl w:val="1"/>
    </w:pPr>
    <w:rPr>
      <w:sz w:val="22"/>
      <w:szCs w:val="20"/>
    </w:rPr>
  </w:style>
  <w:style w:type="paragraph" w:styleId="Nadpis3">
    <w:name w:val="heading 3"/>
    <w:basedOn w:val="Nadpis2"/>
    <w:next w:val="Normln"/>
    <w:link w:val="Nadpis3Char"/>
    <w:uiPriority w:val="19"/>
    <w:qFormat/>
    <w:rsid w:val="00861217"/>
    <w:pPr>
      <w:numPr>
        <w:ilvl w:val="2"/>
      </w:numPr>
      <w:spacing w:before="240"/>
      <w:outlineLvl w:val="2"/>
    </w:pPr>
  </w:style>
  <w:style w:type="paragraph" w:styleId="Nadpis4">
    <w:name w:val="heading 4"/>
    <w:basedOn w:val="Nadpis3"/>
    <w:next w:val="Normln"/>
    <w:link w:val="Nadpis4Char"/>
    <w:uiPriority w:val="19"/>
    <w:qFormat/>
    <w:rsid w:val="00861217"/>
    <w:pPr>
      <w:numPr>
        <w:ilvl w:val="3"/>
      </w:numPr>
      <w:outlineLvl w:val="3"/>
    </w:pPr>
    <w:rPr>
      <w:bCs w:val="0"/>
      <w:iCs/>
      <w:sz w:val="18"/>
    </w:rPr>
  </w:style>
  <w:style w:type="paragraph" w:styleId="Nadpis5">
    <w:name w:val="heading 5"/>
    <w:basedOn w:val="Nadpis4"/>
    <w:next w:val="Normln"/>
    <w:link w:val="Nadpis5Char"/>
    <w:uiPriority w:val="19"/>
    <w:qFormat/>
    <w:rsid w:val="00861217"/>
    <w:pPr>
      <w:numPr>
        <w:ilvl w:val="4"/>
      </w:numPr>
      <w:outlineLvl w:val="4"/>
    </w:pPr>
  </w:style>
  <w:style w:type="paragraph" w:styleId="Nadpis6">
    <w:name w:val="heading 6"/>
    <w:basedOn w:val="Normln"/>
    <w:next w:val="Normln"/>
    <w:link w:val="Nadpis6Char"/>
    <w:uiPriority w:val="9"/>
    <w:semiHidden/>
    <w:unhideWhenUsed/>
    <w:qFormat/>
    <w:rsid w:val="00861217"/>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adpis6"/>
    <w:next w:val="Normln"/>
    <w:link w:val="Nadpis7Char"/>
    <w:uiPriority w:val="19"/>
    <w:semiHidden/>
    <w:rsid w:val="00861217"/>
    <w:pPr>
      <w:numPr>
        <w:ilvl w:val="6"/>
        <w:numId w:val="3"/>
      </w:numPr>
      <w:spacing w:before="240" w:after="240"/>
      <w:jc w:val="left"/>
      <w:outlineLvl w:val="6"/>
    </w:pPr>
    <w:rPr>
      <w:b/>
      <w:iCs/>
      <w:color w:val="auto"/>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9"/>
    <w:rsid w:val="00861217"/>
    <w:rPr>
      <w:rFonts w:asciiTheme="majorHAnsi" w:eastAsiaTheme="majorEastAsia" w:hAnsiTheme="majorHAnsi" w:cstheme="majorBidi"/>
      <w:b/>
      <w:bCs/>
      <w:kern w:val="0"/>
      <w:sz w:val="24"/>
      <w:szCs w:val="40"/>
      <w:lang w:val="en-GB"/>
      <w14:ligatures w14:val="none"/>
    </w:rPr>
  </w:style>
  <w:style w:type="character" w:customStyle="1" w:styleId="Nadpis2Char">
    <w:name w:val="Nadpis 2 Char"/>
    <w:basedOn w:val="Standardnpsmoodstavce"/>
    <w:link w:val="Nadpis2"/>
    <w:uiPriority w:val="19"/>
    <w:rsid w:val="00861217"/>
    <w:rPr>
      <w:rFonts w:asciiTheme="majorHAnsi" w:eastAsiaTheme="majorEastAsia" w:hAnsiTheme="majorHAnsi" w:cstheme="majorBidi"/>
      <w:b/>
      <w:bCs/>
      <w:kern w:val="0"/>
      <w:szCs w:val="20"/>
      <w:lang w:val="en-GB"/>
      <w14:ligatures w14:val="none"/>
    </w:rPr>
  </w:style>
  <w:style w:type="character" w:customStyle="1" w:styleId="Nadpis3Char">
    <w:name w:val="Nadpis 3 Char"/>
    <w:basedOn w:val="Standardnpsmoodstavce"/>
    <w:link w:val="Nadpis3"/>
    <w:uiPriority w:val="19"/>
    <w:rsid w:val="00861217"/>
    <w:rPr>
      <w:rFonts w:asciiTheme="majorHAnsi" w:eastAsiaTheme="majorEastAsia" w:hAnsiTheme="majorHAnsi" w:cstheme="majorBidi"/>
      <w:b/>
      <w:bCs/>
      <w:kern w:val="0"/>
      <w:szCs w:val="20"/>
      <w:lang w:val="en-GB"/>
      <w14:ligatures w14:val="none"/>
    </w:rPr>
  </w:style>
  <w:style w:type="character" w:customStyle="1" w:styleId="Nadpis4Char">
    <w:name w:val="Nadpis 4 Char"/>
    <w:basedOn w:val="Standardnpsmoodstavce"/>
    <w:link w:val="Nadpis4"/>
    <w:uiPriority w:val="19"/>
    <w:rsid w:val="00861217"/>
    <w:rPr>
      <w:rFonts w:asciiTheme="majorHAnsi" w:eastAsiaTheme="majorEastAsia" w:hAnsiTheme="majorHAnsi" w:cstheme="majorBidi"/>
      <w:b/>
      <w:iCs/>
      <w:kern w:val="0"/>
      <w:sz w:val="18"/>
      <w:szCs w:val="20"/>
      <w:lang w:val="en-GB"/>
      <w14:ligatures w14:val="none"/>
    </w:rPr>
  </w:style>
  <w:style w:type="character" w:customStyle="1" w:styleId="Nadpis5Char">
    <w:name w:val="Nadpis 5 Char"/>
    <w:basedOn w:val="Standardnpsmoodstavce"/>
    <w:link w:val="Nadpis5"/>
    <w:uiPriority w:val="19"/>
    <w:rsid w:val="00861217"/>
    <w:rPr>
      <w:rFonts w:asciiTheme="majorHAnsi" w:eastAsiaTheme="majorEastAsia" w:hAnsiTheme="majorHAnsi" w:cstheme="majorBidi"/>
      <w:b/>
      <w:iCs/>
      <w:kern w:val="0"/>
      <w:sz w:val="18"/>
      <w:szCs w:val="20"/>
      <w:lang w:val="en-GB"/>
      <w14:ligatures w14:val="none"/>
    </w:rPr>
  </w:style>
  <w:style w:type="character" w:customStyle="1" w:styleId="Nadpis7Char">
    <w:name w:val="Nadpis 7 Char"/>
    <w:basedOn w:val="Standardnpsmoodstavce"/>
    <w:link w:val="Nadpis7"/>
    <w:uiPriority w:val="19"/>
    <w:semiHidden/>
    <w:rsid w:val="00861217"/>
    <w:rPr>
      <w:rFonts w:asciiTheme="majorHAnsi" w:eastAsiaTheme="majorEastAsia" w:hAnsiTheme="majorHAnsi" w:cstheme="majorBidi"/>
      <w:b/>
      <w:iCs/>
      <w:kern w:val="0"/>
      <w:sz w:val="18"/>
      <w:szCs w:val="20"/>
      <w:lang w:val="en-GB"/>
      <w14:ligatures w14:val="none"/>
    </w:rPr>
  </w:style>
  <w:style w:type="paragraph" w:styleId="Seznamsodrkami">
    <w:name w:val="List Bullet"/>
    <w:basedOn w:val="Normln"/>
    <w:uiPriority w:val="4"/>
    <w:qFormat/>
    <w:rsid w:val="00861217"/>
    <w:pPr>
      <w:numPr>
        <w:numId w:val="1"/>
      </w:numPr>
      <w:spacing w:before="120"/>
    </w:pPr>
  </w:style>
  <w:style w:type="paragraph" w:customStyle="1" w:styleId="Section">
    <w:name w:val="Section"/>
    <w:basedOn w:val="Normln"/>
    <w:next w:val="Normln"/>
    <w:uiPriority w:val="11"/>
    <w:qFormat/>
    <w:rsid w:val="00861217"/>
    <w:pPr>
      <w:keepNext/>
      <w:keepLines/>
      <w:jc w:val="center"/>
    </w:pPr>
    <w:rPr>
      <w:b/>
      <w:sz w:val="24"/>
      <w:szCs w:val="24"/>
      <w:lang w:val="de-AT"/>
    </w:rPr>
  </w:style>
  <w:style w:type="numbering" w:customStyle="1" w:styleId="MultilevelListforHeadings">
    <w:name w:val="Multilevel List for Headings"/>
    <w:uiPriority w:val="99"/>
    <w:rsid w:val="00861217"/>
    <w:pPr>
      <w:numPr>
        <w:numId w:val="2"/>
      </w:numPr>
    </w:pPr>
  </w:style>
  <w:style w:type="paragraph" w:customStyle="1" w:styleId="ListBulletIndent2ListBullet3">
    <w:name w:val="List Bullet Indent 2  (List Bullet 3)"/>
    <w:basedOn w:val="Normln"/>
    <w:uiPriority w:val="4"/>
    <w:qFormat/>
    <w:rsid w:val="00861217"/>
    <w:pPr>
      <w:numPr>
        <w:ilvl w:val="2"/>
        <w:numId w:val="1"/>
      </w:numPr>
      <w:spacing w:before="120"/>
    </w:pPr>
  </w:style>
  <w:style w:type="paragraph" w:customStyle="1" w:styleId="NormalNumberedIndent">
    <w:name w:val="Normal Numbered Indent"/>
    <w:basedOn w:val="Nadpis2"/>
    <w:next w:val="Normln"/>
    <w:uiPriority w:val="21"/>
    <w:qFormat/>
    <w:rsid w:val="00861217"/>
    <w:pPr>
      <w:keepNext w:val="0"/>
      <w:keepLines w:val="0"/>
      <w:spacing w:before="240" w:after="0"/>
      <w:jc w:val="both"/>
      <w:outlineLvl w:val="9"/>
    </w:pPr>
    <w:rPr>
      <w:b w:val="0"/>
      <w:bCs w:val="0"/>
      <w:sz w:val="18"/>
      <w:szCs w:val="16"/>
    </w:rPr>
  </w:style>
  <w:style w:type="paragraph" w:customStyle="1" w:styleId="NormalTextIndent">
    <w:name w:val="Normal Text Indent"/>
    <w:basedOn w:val="Normln"/>
    <w:uiPriority w:val="1"/>
    <w:qFormat/>
    <w:rsid w:val="00861217"/>
    <w:pPr>
      <w:ind w:left="425"/>
    </w:pPr>
  </w:style>
  <w:style w:type="paragraph" w:styleId="Seznamsodrkami2">
    <w:name w:val="List Bullet 2"/>
    <w:basedOn w:val="Normln"/>
    <w:uiPriority w:val="4"/>
    <w:semiHidden/>
    <w:qFormat/>
    <w:rsid w:val="00861217"/>
    <w:pPr>
      <w:numPr>
        <w:ilvl w:val="1"/>
        <w:numId w:val="1"/>
      </w:numPr>
      <w:spacing w:before="120"/>
    </w:pPr>
  </w:style>
  <w:style w:type="numbering" w:customStyle="1" w:styleId="MultilevelListBullets">
    <w:name w:val="Multilevel List Bullets"/>
    <w:uiPriority w:val="99"/>
    <w:rsid w:val="00861217"/>
    <w:pPr>
      <w:numPr>
        <w:numId w:val="1"/>
      </w:numPr>
    </w:pPr>
  </w:style>
  <w:style w:type="table" w:customStyle="1" w:styleId="PlainTableWT">
    <w:name w:val="Plain Table WT"/>
    <w:basedOn w:val="Normlntabulka"/>
    <w:uiPriority w:val="99"/>
    <w:rsid w:val="00861217"/>
    <w:pPr>
      <w:spacing w:before="240" w:after="0" w:line="300" w:lineRule="auto"/>
    </w:pPr>
    <w:rPr>
      <w:kern w:val="0"/>
      <w:sz w:val="18"/>
      <w:szCs w:val="18"/>
      <w:lang w:val="de-AT"/>
      <w14:ligatures w14:val="none"/>
    </w:rPr>
    <w:tblPr>
      <w:tblCellMar>
        <w:left w:w="0" w:type="dxa"/>
      </w:tblCellMar>
    </w:tblPr>
  </w:style>
  <w:style w:type="character" w:customStyle="1" w:styleId="Nadpis6Char">
    <w:name w:val="Nadpis 6 Char"/>
    <w:basedOn w:val="Standardnpsmoodstavce"/>
    <w:link w:val="Nadpis6"/>
    <w:uiPriority w:val="9"/>
    <w:semiHidden/>
    <w:rsid w:val="00861217"/>
    <w:rPr>
      <w:rFonts w:asciiTheme="majorHAnsi" w:eastAsiaTheme="majorEastAsia" w:hAnsiTheme="majorHAnsi" w:cstheme="majorBidi"/>
      <w:color w:val="1F3763" w:themeColor="accent1" w:themeShade="7F"/>
      <w:kern w:val="0"/>
      <w:sz w:val="18"/>
      <w:szCs w:val="18"/>
      <w:lang w:val="en-GB"/>
      <w14:ligatures w14:val="none"/>
    </w:rPr>
  </w:style>
  <w:style w:type="paragraph" w:styleId="Revize">
    <w:name w:val="Revision"/>
    <w:hidden/>
    <w:uiPriority w:val="99"/>
    <w:semiHidden/>
    <w:rsid w:val="002F0E8A"/>
    <w:pPr>
      <w:spacing w:after="0" w:line="240" w:lineRule="auto"/>
    </w:pPr>
    <w:rPr>
      <w:kern w:val="0"/>
      <w:sz w:val="18"/>
      <w:szCs w:val="18"/>
      <w:lang w:val="en-GB"/>
      <w14:ligatures w14:val="none"/>
    </w:rPr>
  </w:style>
  <w:style w:type="character" w:styleId="Odkaznakoment">
    <w:name w:val="annotation reference"/>
    <w:basedOn w:val="Standardnpsmoodstavce"/>
    <w:uiPriority w:val="99"/>
    <w:semiHidden/>
    <w:unhideWhenUsed/>
    <w:rsid w:val="007254EC"/>
    <w:rPr>
      <w:sz w:val="16"/>
      <w:szCs w:val="16"/>
    </w:rPr>
  </w:style>
  <w:style w:type="paragraph" w:styleId="Textkomente">
    <w:name w:val="annotation text"/>
    <w:basedOn w:val="Normln"/>
    <w:link w:val="TextkomenteChar"/>
    <w:uiPriority w:val="99"/>
    <w:unhideWhenUsed/>
    <w:rsid w:val="007254EC"/>
    <w:pPr>
      <w:spacing w:line="240" w:lineRule="auto"/>
    </w:pPr>
    <w:rPr>
      <w:sz w:val="20"/>
      <w:szCs w:val="20"/>
    </w:rPr>
  </w:style>
  <w:style w:type="character" w:customStyle="1" w:styleId="TextkomenteChar">
    <w:name w:val="Text komentáře Char"/>
    <w:basedOn w:val="Standardnpsmoodstavce"/>
    <w:link w:val="Textkomente"/>
    <w:uiPriority w:val="99"/>
    <w:rsid w:val="007254EC"/>
    <w:rPr>
      <w:kern w:val="0"/>
      <w:sz w:val="20"/>
      <w:szCs w:val="20"/>
      <w:lang w:val="en-GB"/>
      <w14:ligatures w14:val="none"/>
    </w:rPr>
  </w:style>
  <w:style w:type="paragraph" w:styleId="Pedmtkomente">
    <w:name w:val="annotation subject"/>
    <w:basedOn w:val="Textkomente"/>
    <w:next w:val="Textkomente"/>
    <w:link w:val="PedmtkomenteChar"/>
    <w:uiPriority w:val="99"/>
    <w:semiHidden/>
    <w:unhideWhenUsed/>
    <w:rsid w:val="007254EC"/>
    <w:rPr>
      <w:b/>
      <w:bCs/>
    </w:rPr>
  </w:style>
  <w:style w:type="character" w:customStyle="1" w:styleId="PedmtkomenteChar">
    <w:name w:val="Předmět komentáře Char"/>
    <w:basedOn w:val="TextkomenteChar"/>
    <w:link w:val="Pedmtkomente"/>
    <w:uiPriority w:val="99"/>
    <w:semiHidden/>
    <w:rsid w:val="007254EC"/>
    <w:rPr>
      <w:b/>
      <w:bCs/>
      <w:kern w:val="0"/>
      <w:sz w:val="20"/>
      <w:szCs w:val="20"/>
      <w:lang w:val="en-GB"/>
      <w14:ligatures w14:val="none"/>
    </w:rPr>
  </w:style>
  <w:style w:type="paragraph" w:styleId="Textpoznpodarou">
    <w:name w:val="footnote text"/>
    <w:basedOn w:val="Normln"/>
    <w:link w:val="TextpoznpodarouChar"/>
    <w:uiPriority w:val="99"/>
    <w:semiHidden/>
    <w:unhideWhenUsed/>
    <w:rsid w:val="00505020"/>
    <w:pPr>
      <w:spacing w:before="0" w:line="240" w:lineRule="auto"/>
    </w:pPr>
    <w:rPr>
      <w:sz w:val="20"/>
      <w:szCs w:val="20"/>
    </w:rPr>
  </w:style>
  <w:style w:type="character" w:customStyle="1" w:styleId="TextpoznpodarouChar">
    <w:name w:val="Text pozn. pod čarou Char"/>
    <w:basedOn w:val="Standardnpsmoodstavce"/>
    <w:link w:val="Textpoznpodarou"/>
    <w:uiPriority w:val="99"/>
    <w:semiHidden/>
    <w:rsid w:val="00505020"/>
    <w:rPr>
      <w:kern w:val="0"/>
      <w:sz w:val="20"/>
      <w:szCs w:val="20"/>
      <w:lang w:val="en-GB"/>
      <w14:ligatures w14:val="none"/>
    </w:rPr>
  </w:style>
  <w:style w:type="character" w:styleId="Znakapoznpodarou">
    <w:name w:val="footnote reference"/>
    <w:basedOn w:val="Standardnpsmoodstavce"/>
    <w:uiPriority w:val="99"/>
    <w:semiHidden/>
    <w:unhideWhenUsed/>
    <w:rsid w:val="00505020"/>
    <w:rPr>
      <w:vertAlign w:val="superscript"/>
    </w:rPr>
  </w:style>
  <w:style w:type="character" w:styleId="Zstupntext">
    <w:name w:val="Placeholder Text"/>
    <w:basedOn w:val="Standardnpsmoodstavce"/>
    <w:uiPriority w:val="99"/>
    <w:semiHidden/>
    <w:rsid w:val="00C93C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6A0C8726-D816-4095-AECA-BABFD52639DF}"/>
      </w:docPartPr>
      <w:docPartBody>
        <w:p w:rsidR="00000000" w:rsidRDefault="007A5202">
          <w:r w:rsidRPr="00E6161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02"/>
    <w:rsid w:val="0071518E"/>
    <w:rsid w:val="007A5202"/>
    <w:rsid w:val="00881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520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12C68-C4A8-4621-BE0C-0AB117D8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1385</Words>
  <Characters>8172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Toman</dc:creator>
  <cp:keywords/>
  <dc:description/>
  <cp:lastModifiedBy>Ludmila Lehetová</cp:lastModifiedBy>
  <cp:revision>4</cp:revision>
  <dcterms:created xsi:type="dcterms:W3CDTF">2024-08-19T07:06:00Z</dcterms:created>
  <dcterms:modified xsi:type="dcterms:W3CDTF">2024-09-12T09:43:00Z</dcterms:modified>
</cp:coreProperties>
</file>